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57BD" w14:textId="4D333D8A" w:rsidR="00555286" w:rsidRDefault="00555286">
      <w:r>
        <w:rPr>
          <w:noProof/>
        </w:rPr>
        <w:drawing>
          <wp:anchor distT="0" distB="0" distL="114300" distR="114300" simplePos="0" relativeHeight="251658240" behindDoc="0" locked="0" layoutInCell="1" allowOverlap="1" wp14:anchorId="4B3CE075" wp14:editId="7E092AC0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5727700" cy="149987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6 at 7.41.4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E4C93" w14:textId="262AA61C" w:rsidR="00D310FD" w:rsidRDefault="00D310FD"/>
    <w:p w14:paraId="0DFFB10B" w14:textId="77777777" w:rsidR="00555286" w:rsidRDefault="00555286"/>
    <w:p w14:paraId="04FD20E2" w14:textId="77777777" w:rsidR="00555286" w:rsidRDefault="00555286"/>
    <w:p w14:paraId="7DE3401C" w14:textId="77777777" w:rsidR="00555286" w:rsidRDefault="00555286"/>
    <w:p w14:paraId="121F735A" w14:textId="77777777" w:rsidR="00555286" w:rsidRDefault="00555286"/>
    <w:p w14:paraId="2537B4A3" w14:textId="6519892F" w:rsidR="00555286" w:rsidRPr="00555286" w:rsidRDefault="00555286" w:rsidP="00555286">
      <w:pPr>
        <w:rPr>
          <w:rFonts w:ascii="Calibri" w:hAnsi="Calibri"/>
          <w:b/>
          <w:color w:val="253356" w:themeColor="accent1" w:themeShade="80"/>
          <w:sz w:val="32"/>
          <w:szCs w:val="32"/>
        </w:rPr>
      </w:pPr>
      <w:r w:rsidRPr="00555286">
        <w:rPr>
          <w:rFonts w:ascii="Calibri" w:hAnsi="Calibri"/>
          <w:b/>
          <w:color w:val="253356" w:themeColor="accent1" w:themeShade="80"/>
          <w:sz w:val="32"/>
          <w:szCs w:val="32"/>
        </w:rPr>
        <w:t>GUIDELINE</w:t>
      </w:r>
    </w:p>
    <w:p w14:paraId="1FB0C437" w14:textId="77777777" w:rsidR="00555286" w:rsidRDefault="00555286"/>
    <w:p w14:paraId="5B643A49" w14:textId="77777777" w:rsidR="00555286" w:rsidRDefault="00555286"/>
    <w:p w14:paraId="2F1CE739" w14:textId="77777777" w:rsidR="00555286" w:rsidRDefault="00555286"/>
    <w:p w14:paraId="02DF5458" w14:textId="2D219AD0" w:rsidR="00555286" w:rsidRDefault="00555286" w:rsidP="00555286">
      <w:pPr>
        <w:pBdr>
          <w:bottom w:val="single" w:sz="18" w:space="1" w:color="808080" w:themeColor="background1" w:themeShade="80"/>
        </w:pBdr>
        <w:rPr>
          <w:b/>
          <w:color w:val="253356" w:themeColor="accent1" w:themeShade="80"/>
          <w:sz w:val="32"/>
          <w:szCs w:val="32"/>
        </w:rPr>
      </w:pPr>
      <w:r w:rsidRPr="00555286">
        <w:rPr>
          <w:b/>
          <w:color w:val="253356" w:themeColor="accent1" w:themeShade="80"/>
          <w:sz w:val="32"/>
          <w:szCs w:val="32"/>
        </w:rPr>
        <w:t xml:space="preserve">PB-GL-01 Participatory Budget </w:t>
      </w:r>
    </w:p>
    <w:p w14:paraId="45C22598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4428FFDA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69C5E39C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67B9C690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5D037BEB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69B5DF01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01391424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36032CC6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6405C4F0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4C6107B0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32258A1D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65303EDE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4170BAA9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32D96705" w14:textId="27A45060" w:rsidR="00555286" w:rsidRPr="00555286" w:rsidRDefault="00555286" w:rsidP="00555286">
      <w:pPr>
        <w:pBdr>
          <w:top w:val="single" w:sz="18" w:space="1" w:color="A6A6A6" w:themeColor="background1" w:themeShade="A6"/>
        </w:pBdr>
        <w:rPr>
          <w:b/>
          <w:color w:val="253356" w:themeColor="accent1" w:themeShade="80"/>
        </w:rPr>
      </w:pPr>
      <w:r w:rsidRPr="00555286">
        <w:rPr>
          <w:b/>
          <w:color w:val="253356" w:themeColor="accent1" w:themeShade="80"/>
        </w:rPr>
        <w:t>DOCUMENT APPROVAL</w:t>
      </w:r>
    </w:p>
    <w:p w14:paraId="59520268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2048"/>
        <w:gridCol w:w="1535"/>
        <w:gridCol w:w="848"/>
        <w:gridCol w:w="2048"/>
        <w:gridCol w:w="1535"/>
      </w:tblGrid>
      <w:tr w:rsidR="00555286" w:rsidRPr="00555286" w14:paraId="54CD353E" w14:textId="77777777" w:rsidTr="00555286">
        <w:tc>
          <w:tcPr>
            <w:tcW w:w="996" w:type="dxa"/>
            <w:vMerge w:val="restart"/>
            <w:shd w:val="clear" w:color="auto" w:fill="BFBFBF" w:themeFill="background1" w:themeFillShade="BF"/>
          </w:tcPr>
          <w:p w14:paraId="5B8D6D41" w14:textId="2F9F801F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  <w:r w:rsidRPr="00555286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583" w:type="dxa"/>
            <w:gridSpan w:val="2"/>
            <w:shd w:val="clear" w:color="auto" w:fill="BFBFBF" w:themeFill="background1" w:themeFillShade="BF"/>
          </w:tcPr>
          <w:p w14:paraId="6D518C04" w14:textId="6939F5E7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  <w:r w:rsidRPr="00555286">
              <w:rPr>
                <w:color w:val="000000" w:themeColor="text1"/>
                <w:sz w:val="22"/>
                <w:szCs w:val="22"/>
              </w:rPr>
              <w:t>Content Authorisation</w:t>
            </w:r>
          </w:p>
        </w:tc>
        <w:tc>
          <w:tcPr>
            <w:tcW w:w="848" w:type="dxa"/>
            <w:vMerge w:val="restart"/>
            <w:shd w:val="clear" w:color="auto" w:fill="BFBFBF" w:themeFill="background1" w:themeFillShade="BF"/>
          </w:tcPr>
          <w:p w14:paraId="523DCB31" w14:textId="7D68C017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  <w:r w:rsidRPr="00555286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583" w:type="dxa"/>
            <w:gridSpan w:val="2"/>
            <w:shd w:val="clear" w:color="auto" w:fill="BFBFBF" w:themeFill="background1" w:themeFillShade="BF"/>
          </w:tcPr>
          <w:p w14:paraId="6CB7733F" w14:textId="3BF13027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  <w:r w:rsidRPr="00555286">
              <w:rPr>
                <w:color w:val="000000" w:themeColor="text1"/>
                <w:sz w:val="22"/>
                <w:szCs w:val="22"/>
              </w:rPr>
              <w:t>Quality Assurance Authorisation</w:t>
            </w:r>
          </w:p>
        </w:tc>
      </w:tr>
      <w:tr w:rsidR="00555286" w:rsidRPr="00555286" w14:paraId="2CB4EF88" w14:textId="77777777" w:rsidTr="00555286">
        <w:tc>
          <w:tcPr>
            <w:tcW w:w="996" w:type="dxa"/>
            <w:vMerge/>
            <w:shd w:val="clear" w:color="auto" w:fill="BFBFBF" w:themeFill="background1" w:themeFillShade="BF"/>
          </w:tcPr>
          <w:p w14:paraId="5F806104" w14:textId="77777777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5B16B9F5" w14:textId="1B04B1DA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  <w:r w:rsidRPr="00555286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11E8CE3D" w14:textId="1E27C7EC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  <w:r w:rsidRPr="00555286"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14:paraId="15BA658C" w14:textId="77777777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2B3CB2A8" w14:textId="27A8E733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  <w:r w:rsidRPr="00555286">
              <w:rPr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529EAF39" w14:textId="23BE43B4" w:rsidR="00555286" w:rsidRPr="00555286" w:rsidRDefault="00555286">
            <w:pPr>
              <w:rPr>
                <w:color w:val="000000" w:themeColor="text1"/>
                <w:sz w:val="22"/>
                <w:szCs w:val="22"/>
              </w:rPr>
            </w:pPr>
            <w:r w:rsidRPr="00555286">
              <w:rPr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555286" w:rsidRPr="00555286" w14:paraId="4CB0A464" w14:textId="77777777" w:rsidTr="00555286">
        <w:tc>
          <w:tcPr>
            <w:tcW w:w="996" w:type="dxa"/>
          </w:tcPr>
          <w:p w14:paraId="05C65657" w14:textId="77777777" w:rsidR="00555286" w:rsidRDefault="00555286">
            <w:pPr>
              <w:rPr>
                <w:b/>
                <w:color w:val="253356" w:themeColor="accent1" w:themeShade="80"/>
                <w:sz w:val="22"/>
                <w:szCs w:val="22"/>
              </w:rPr>
            </w:pPr>
          </w:p>
          <w:p w14:paraId="24EAEFFF" w14:textId="77777777" w:rsidR="00555286" w:rsidRDefault="00555286">
            <w:pPr>
              <w:rPr>
                <w:b/>
                <w:color w:val="253356" w:themeColor="accent1" w:themeShade="80"/>
                <w:sz w:val="22"/>
                <w:szCs w:val="22"/>
              </w:rPr>
            </w:pPr>
          </w:p>
          <w:p w14:paraId="3455F55F" w14:textId="77777777" w:rsidR="00555286" w:rsidRPr="00555286" w:rsidRDefault="00555286">
            <w:pPr>
              <w:rPr>
                <w:b/>
                <w:color w:val="253356" w:themeColor="accent1" w:themeShade="80"/>
                <w:sz w:val="22"/>
                <w:szCs w:val="22"/>
              </w:rPr>
            </w:pPr>
          </w:p>
        </w:tc>
        <w:tc>
          <w:tcPr>
            <w:tcW w:w="2048" w:type="dxa"/>
          </w:tcPr>
          <w:p w14:paraId="60B3037E" w14:textId="77777777" w:rsidR="00555286" w:rsidRPr="00555286" w:rsidRDefault="00555286">
            <w:pPr>
              <w:rPr>
                <w:b/>
                <w:color w:val="253356" w:themeColor="accent1" w:themeShade="80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E99EBA3" w14:textId="77777777" w:rsidR="00555286" w:rsidRPr="00555286" w:rsidRDefault="00555286">
            <w:pPr>
              <w:rPr>
                <w:b/>
                <w:color w:val="253356" w:themeColor="accent1" w:themeShade="80"/>
                <w:sz w:val="22"/>
                <w:szCs w:val="22"/>
              </w:rPr>
            </w:pPr>
          </w:p>
        </w:tc>
        <w:tc>
          <w:tcPr>
            <w:tcW w:w="848" w:type="dxa"/>
          </w:tcPr>
          <w:p w14:paraId="00169542" w14:textId="77777777" w:rsidR="00555286" w:rsidRPr="00555286" w:rsidRDefault="00555286">
            <w:pPr>
              <w:rPr>
                <w:b/>
                <w:color w:val="253356" w:themeColor="accent1" w:themeShade="80"/>
                <w:sz w:val="22"/>
                <w:szCs w:val="22"/>
              </w:rPr>
            </w:pPr>
          </w:p>
        </w:tc>
        <w:tc>
          <w:tcPr>
            <w:tcW w:w="2048" w:type="dxa"/>
          </w:tcPr>
          <w:p w14:paraId="01F1B784" w14:textId="2AD6736B" w:rsidR="00555286" w:rsidRPr="00555286" w:rsidRDefault="00555286">
            <w:pPr>
              <w:rPr>
                <w:b/>
                <w:color w:val="253356" w:themeColor="accent1" w:themeShade="80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119FAA0" w14:textId="77777777" w:rsidR="00555286" w:rsidRPr="00555286" w:rsidRDefault="00555286">
            <w:pPr>
              <w:rPr>
                <w:b/>
                <w:color w:val="253356" w:themeColor="accent1" w:themeShade="80"/>
                <w:sz w:val="22"/>
                <w:szCs w:val="22"/>
              </w:rPr>
            </w:pPr>
          </w:p>
        </w:tc>
      </w:tr>
    </w:tbl>
    <w:p w14:paraId="3A333695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1CB5C96D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06E8BDAB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p w14:paraId="5B98FCDD" w14:textId="77777777" w:rsidR="00555286" w:rsidRDefault="00555286">
      <w:pPr>
        <w:rPr>
          <w:b/>
          <w:color w:val="253356" w:themeColor="accent1" w:themeShade="80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n-AU" w:eastAsia="ja-JP"/>
        </w:rPr>
        <w:id w:val="-70139885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4D4BF4CA" w14:textId="53652A6B" w:rsidR="00D968C7" w:rsidRDefault="00D968C7">
          <w:pPr>
            <w:pStyle w:val="TOCHeading"/>
          </w:pPr>
          <w:r>
            <w:t>Table of Contents</w:t>
          </w:r>
        </w:p>
        <w:p w14:paraId="6EBE4662" w14:textId="77777777" w:rsidR="007D057A" w:rsidRDefault="00D968C7" w:rsidP="007D057A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12186" w:history="1">
            <w:r w:rsidR="007D057A" w:rsidRPr="006E3742">
              <w:rPr>
                <w:rStyle w:val="Hyperlink"/>
                <w:noProof/>
              </w:rPr>
              <w:t>2.</w:t>
            </w:r>
            <w:r w:rsidR="007D057A">
              <w:rPr>
                <w:noProof/>
              </w:rPr>
              <w:tab/>
            </w:r>
            <w:r w:rsidR="007D057A" w:rsidRPr="006E3742">
              <w:rPr>
                <w:rStyle w:val="Hyperlink"/>
                <w:noProof/>
              </w:rPr>
              <w:t>Purpose</w:t>
            </w:r>
            <w:r w:rsidR="007D057A">
              <w:rPr>
                <w:noProof/>
                <w:webHidden/>
              </w:rPr>
              <w:tab/>
            </w:r>
            <w:r w:rsidR="007D057A">
              <w:rPr>
                <w:noProof/>
                <w:webHidden/>
              </w:rPr>
              <w:fldChar w:fldCharType="begin"/>
            </w:r>
            <w:r w:rsidR="007D057A">
              <w:rPr>
                <w:noProof/>
                <w:webHidden/>
              </w:rPr>
              <w:instrText xml:space="preserve"> PAGEREF _Toc42012186 \h </w:instrText>
            </w:r>
            <w:r w:rsidR="007D057A">
              <w:rPr>
                <w:noProof/>
                <w:webHidden/>
              </w:rPr>
            </w:r>
            <w:r w:rsidR="007D057A">
              <w:rPr>
                <w:noProof/>
                <w:webHidden/>
              </w:rPr>
              <w:fldChar w:fldCharType="separate"/>
            </w:r>
            <w:r w:rsidR="007D057A">
              <w:rPr>
                <w:noProof/>
                <w:webHidden/>
              </w:rPr>
              <w:t>3</w:t>
            </w:r>
            <w:r w:rsidR="007D057A">
              <w:rPr>
                <w:noProof/>
                <w:webHidden/>
              </w:rPr>
              <w:fldChar w:fldCharType="end"/>
            </w:r>
          </w:hyperlink>
        </w:p>
        <w:p w14:paraId="149F10C5" w14:textId="77777777" w:rsidR="007D057A" w:rsidRDefault="007D057A" w:rsidP="007D057A">
          <w:pPr>
            <w:pStyle w:val="TOC1"/>
            <w:rPr>
              <w:noProof/>
            </w:rPr>
          </w:pPr>
          <w:hyperlink w:anchor="_Toc42012187" w:history="1">
            <w:r w:rsidRPr="006E3742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Role of this and related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31016" w14:textId="77777777" w:rsidR="007D057A" w:rsidRDefault="007D057A" w:rsidP="007D057A">
          <w:pPr>
            <w:pStyle w:val="TOC1"/>
            <w:rPr>
              <w:noProof/>
            </w:rPr>
          </w:pPr>
          <w:hyperlink w:anchor="_Toc42012188" w:history="1">
            <w:r w:rsidRPr="006E3742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CF083" w14:textId="77777777" w:rsidR="007D057A" w:rsidRDefault="007D057A" w:rsidP="007D057A">
          <w:pPr>
            <w:pStyle w:val="TOC1"/>
            <w:rPr>
              <w:noProof/>
            </w:rPr>
          </w:pPr>
          <w:hyperlink w:anchor="_Toc42012189" w:history="1">
            <w:r w:rsidRPr="006E3742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Raising Funds &amp; Revenue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3A73B" w14:textId="77777777" w:rsidR="007D057A" w:rsidRDefault="007D057A" w:rsidP="007D057A">
          <w:pPr>
            <w:pStyle w:val="TOC1"/>
            <w:rPr>
              <w:noProof/>
            </w:rPr>
          </w:pPr>
          <w:hyperlink w:anchor="_Toc42012190" w:history="1">
            <w:r w:rsidRPr="006E3742">
              <w:rPr>
                <w:rStyle w:val="Hyperlink"/>
                <w:noProof/>
              </w:rPr>
              <w:t>6.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Distributing funds raised by the Co-operative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373DF" w14:textId="77777777" w:rsidR="007D057A" w:rsidRDefault="007D057A" w:rsidP="007D057A">
          <w:pPr>
            <w:pStyle w:val="TOC1"/>
            <w:rPr>
              <w:noProof/>
            </w:rPr>
          </w:pPr>
          <w:hyperlink w:anchor="_Toc42012191" w:history="1">
            <w:r w:rsidRPr="006E3742">
              <w:rPr>
                <w:rStyle w:val="Hyperlink"/>
                <w:noProof/>
              </w:rPr>
              <w:t>7.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Financial Risk and Quality 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13284" w14:textId="77777777" w:rsidR="007D057A" w:rsidRDefault="007D057A" w:rsidP="007D057A">
          <w:pPr>
            <w:pStyle w:val="TOC1"/>
            <w:rPr>
              <w:noProof/>
            </w:rPr>
          </w:pPr>
          <w:hyperlink w:anchor="_Toc42012192" w:history="1">
            <w:r w:rsidRPr="006E3742">
              <w:rPr>
                <w:rStyle w:val="Hyperlink"/>
                <w:noProof/>
              </w:rPr>
              <w:t>8.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Preparing NENA’s Annual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BB936" w14:textId="77777777" w:rsidR="007D057A" w:rsidRDefault="007D057A" w:rsidP="007D057A">
          <w:pPr>
            <w:pStyle w:val="TOC1"/>
            <w:rPr>
              <w:noProof/>
            </w:rPr>
          </w:pPr>
          <w:hyperlink w:anchor="_Toc42012193" w:history="1">
            <w:r w:rsidRPr="006E3742">
              <w:rPr>
                <w:rStyle w:val="Hyperlink"/>
                <w:noProof/>
              </w:rPr>
              <w:t>9.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Holding and distributing monies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D1C7D" w14:textId="77777777" w:rsidR="007D057A" w:rsidRDefault="007D057A" w:rsidP="007D057A">
          <w:pPr>
            <w:pStyle w:val="TOC1"/>
            <w:rPr>
              <w:noProof/>
            </w:rPr>
          </w:pPr>
          <w:hyperlink w:anchor="_Toc42012194" w:history="1">
            <w:r w:rsidRPr="006E3742">
              <w:rPr>
                <w:rStyle w:val="Hyperlink"/>
                <w:noProof/>
              </w:rPr>
              <w:t>10.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Disputes relating to PB matters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AD961" w14:textId="77777777" w:rsidR="007D057A" w:rsidRDefault="007D057A" w:rsidP="007D057A">
          <w:pPr>
            <w:pStyle w:val="TOC1"/>
            <w:rPr>
              <w:noProof/>
            </w:rPr>
          </w:pPr>
          <w:hyperlink w:anchor="_Toc42012195" w:history="1">
            <w:r w:rsidRPr="006E3742">
              <w:rPr>
                <w:rStyle w:val="Hyperlink"/>
                <w:noProof/>
              </w:rPr>
              <w:t>APPENDIX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21C48" w14:textId="77777777" w:rsidR="007D057A" w:rsidRDefault="007D057A" w:rsidP="007D057A">
          <w:pPr>
            <w:pStyle w:val="TOC1"/>
            <w:rPr>
              <w:noProof/>
            </w:rPr>
          </w:pPr>
          <w:hyperlink r:id="rId9" w:anchor="_Toc42012196" w:history="1">
            <w:r w:rsidRPr="006E3742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6E3742">
              <w:rPr>
                <w:rStyle w:val="Hyperlink"/>
                <w:noProof/>
              </w:rPr>
              <w:t>Fundraising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3B8EA" w14:textId="77777777" w:rsidR="007D057A" w:rsidRDefault="007D057A">
          <w:pPr>
            <w:pStyle w:val="TOC2"/>
            <w:tabs>
              <w:tab w:val="right" w:leader="dot" w:pos="9010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42012197" w:history="1">
            <w:r w:rsidRPr="006E3742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9E323" w14:textId="77777777" w:rsidR="007D057A" w:rsidRDefault="007D057A">
          <w:pPr>
            <w:pStyle w:val="TOC2"/>
            <w:tabs>
              <w:tab w:val="right" w:leader="dot" w:pos="9010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42012198" w:history="1">
            <w:r w:rsidRPr="006E3742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BB8C5" w14:textId="77777777" w:rsidR="007D057A" w:rsidRDefault="007D057A">
          <w:pPr>
            <w:pStyle w:val="TOC2"/>
            <w:tabs>
              <w:tab w:val="right" w:leader="dot" w:pos="9010"/>
            </w:tabs>
            <w:rPr>
              <w:b w:val="0"/>
              <w:bCs w:val="0"/>
              <w:noProof/>
              <w:sz w:val="24"/>
              <w:szCs w:val="24"/>
            </w:rPr>
          </w:pPr>
          <w:hyperlink w:anchor="_Toc42012199" w:history="1">
            <w:r w:rsidRPr="006E3742">
              <w:rPr>
                <w:rStyle w:val="Hyperlink"/>
                <w:noProof/>
              </w:rPr>
              <w:t>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ABEA6" w14:textId="75157638" w:rsidR="00D968C7" w:rsidRDefault="00D968C7">
          <w:r>
            <w:rPr>
              <w:b/>
              <w:bCs/>
              <w:noProof/>
            </w:rPr>
            <w:fldChar w:fldCharType="end"/>
          </w:r>
        </w:p>
      </w:sdtContent>
    </w:sdt>
    <w:p w14:paraId="062326F0" w14:textId="77777777" w:rsidR="00223DFD" w:rsidRDefault="00223DFD">
      <w:pPr>
        <w:rPr>
          <w:b/>
          <w:color w:val="253356" w:themeColor="accent1" w:themeShade="80"/>
          <w:sz w:val="32"/>
          <w:szCs w:val="32"/>
        </w:rPr>
        <w:sectPr w:rsidR="00223DFD" w:rsidSect="00223DFD">
          <w:headerReference w:type="default" r:id="rId10"/>
          <w:footerReference w:type="even" r:id="rId11"/>
          <w:footerReference w:type="default" r:id="rId12"/>
          <w:pgSz w:w="11900" w:h="16840"/>
          <w:pgMar w:top="1440" w:right="1440" w:bottom="1440" w:left="1440" w:header="708" w:footer="708" w:gutter="0"/>
          <w:cols w:space="708"/>
          <w:titlePg/>
          <w:docGrid w:linePitch="400"/>
        </w:sectPr>
      </w:pPr>
    </w:p>
    <w:p w14:paraId="17299AD5" w14:textId="58FA79B4" w:rsidR="00555286" w:rsidRPr="00D968C7" w:rsidRDefault="00223DFD" w:rsidP="00D968C7">
      <w:pPr>
        <w:pStyle w:val="Heading1"/>
      </w:pPr>
      <w:bookmarkStart w:id="0" w:name="_Toc42012186"/>
      <w:r w:rsidRPr="00D968C7">
        <w:t>Purpose</w:t>
      </w:r>
      <w:bookmarkEnd w:id="0"/>
    </w:p>
    <w:p w14:paraId="3AD9E90A" w14:textId="77777777" w:rsidR="00223DFD" w:rsidRPr="002E4F32" w:rsidRDefault="00223DFD" w:rsidP="00223DFD">
      <w:pPr>
        <w:rPr>
          <w:rFonts w:ascii="Calibri" w:hAnsi="Calibri"/>
        </w:rPr>
      </w:pPr>
    </w:p>
    <w:p w14:paraId="28F77C42" w14:textId="03ABA741" w:rsidR="008F310E" w:rsidRDefault="002E4F32" w:rsidP="002E4F32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Arial"/>
          <w:color w:val="000000"/>
        </w:rPr>
      </w:pPr>
      <w:r w:rsidRPr="002E4F32">
        <w:rPr>
          <w:rFonts w:ascii="Calibri" w:hAnsi="Calibri" w:cs="Arial"/>
          <w:color w:val="000000"/>
        </w:rPr>
        <w:t>This guideline</w:t>
      </w:r>
      <w:r w:rsidR="00DD5FEF" w:rsidRPr="002E4F32">
        <w:rPr>
          <w:rFonts w:ascii="Calibri" w:hAnsi="Calibri" w:cs="Arial"/>
          <w:color w:val="000000"/>
        </w:rPr>
        <w:t xml:space="preserve"> </w:t>
      </w:r>
      <w:r w:rsidR="002446F0">
        <w:rPr>
          <w:rFonts w:ascii="Calibri" w:hAnsi="Calibri" w:cs="Arial"/>
          <w:color w:val="000000"/>
        </w:rPr>
        <w:t>explains how NENA</w:t>
      </w:r>
      <w:r w:rsidR="008F310E">
        <w:rPr>
          <w:rFonts w:ascii="Calibri" w:hAnsi="Calibri" w:cs="Arial"/>
          <w:color w:val="000000"/>
        </w:rPr>
        <w:t>:</w:t>
      </w:r>
    </w:p>
    <w:p w14:paraId="2B458E68" w14:textId="0DC7C8D8" w:rsidR="008F310E" w:rsidRDefault="002446F0" w:rsidP="008F31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Prepares</w:t>
      </w:r>
      <w:r w:rsidR="008F310E">
        <w:rPr>
          <w:rFonts w:ascii="Calibri" w:hAnsi="Calibri" w:cs="Arial"/>
          <w:color w:val="000000"/>
        </w:rPr>
        <w:t xml:space="preserve"> the </w:t>
      </w:r>
      <w:r w:rsidR="000A3449">
        <w:rPr>
          <w:rFonts w:ascii="Calibri" w:hAnsi="Calibri" w:cs="Arial"/>
          <w:color w:val="000000"/>
        </w:rPr>
        <w:t>NENA</w:t>
      </w:r>
      <w:r w:rsidR="008F310E">
        <w:rPr>
          <w:rFonts w:ascii="Calibri" w:hAnsi="Calibri" w:cs="Arial"/>
          <w:color w:val="000000"/>
        </w:rPr>
        <w:t xml:space="preserve"> </w:t>
      </w:r>
      <w:r w:rsidR="000A3449">
        <w:rPr>
          <w:rFonts w:ascii="Calibri" w:hAnsi="Calibri" w:cs="Arial"/>
          <w:color w:val="000000"/>
        </w:rPr>
        <w:t xml:space="preserve">National </w:t>
      </w:r>
      <w:r w:rsidR="00470EF4">
        <w:rPr>
          <w:rFonts w:ascii="Calibri" w:hAnsi="Calibri" w:cs="Arial"/>
          <w:color w:val="000000"/>
        </w:rPr>
        <w:t>B</w:t>
      </w:r>
      <w:r w:rsidR="008F310E">
        <w:rPr>
          <w:rFonts w:ascii="Calibri" w:hAnsi="Calibri" w:cs="Arial"/>
          <w:color w:val="000000"/>
        </w:rPr>
        <w:t>udget</w:t>
      </w:r>
      <w:r w:rsidR="00470EF4">
        <w:rPr>
          <w:rFonts w:ascii="Calibri" w:hAnsi="Calibri" w:cs="Arial"/>
          <w:color w:val="000000"/>
        </w:rPr>
        <w:t xml:space="preserve"> </w:t>
      </w:r>
      <w:r w:rsidR="008F310E">
        <w:rPr>
          <w:rFonts w:ascii="Calibri" w:hAnsi="Calibri" w:cs="Arial"/>
          <w:color w:val="000000"/>
        </w:rPr>
        <w:t>for the co-operative</w:t>
      </w:r>
    </w:p>
    <w:p w14:paraId="6DD0AB32" w14:textId="2B544B96" w:rsidR="008F310E" w:rsidRDefault="002446F0" w:rsidP="008F31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Identifies, assesses and decides whether funding sources are appropriate</w:t>
      </w:r>
    </w:p>
    <w:p w14:paraId="7BD9D07A" w14:textId="6AF4F58C" w:rsidR="002446F0" w:rsidRDefault="002446F0" w:rsidP="008F31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Distributes funds raised by NENA activities</w:t>
      </w:r>
    </w:p>
    <w:p w14:paraId="5BE49354" w14:textId="2A5AA9F7" w:rsidR="002446F0" w:rsidRDefault="002446F0" w:rsidP="008F31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Manages requests and allocation of funds to Hubs and members, both through the budget process and outside of the budget process.</w:t>
      </w:r>
    </w:p>
    <w:p w14:paraId="3F65A8CF" w14:textId="06E81CBE" w:rsidR="000A3449" w:rsidRDefault="002446F0" w:rsidP="002E4F32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This guideline explains how NENA members and hubs can request funds for NENA activities. </w:t>
      </w:r>
    </w:p>
    <w:p w14:paraId="281D35E1" w14:textId="77777777" w:rsidR="00223DFD" w:rsidRPr="002E4F32" w:rsidRDefault="00223DFD" w:rsidP="000A344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/>
        </w:rPr>
      </w:pPr>
    </w:p>
    <w:p w14:paraId="26A105A1" w14:textId="4BD1CF9D" w:rsidR="00223DFD" w:rsidRPr="002E4F32" w:rsidRDefault="00223DFD" w:rsidP="00223DFD">
      <w:pPr>
        <w:pStyle w:val="Heading1"/>
        <w:rPr>
          <w:b w:val="0"/>
        </w:rPr>
      </w:pPr>
      <w:bookmarkStart w:id="1" w:name="_Toc42012187"/>
      <w:r w:rsidRPr="002E4F32">
        <w:t>Role of this and related documents</w:t>
      </w:r>
      <w:bookmarkEnd w:id="1"/>
    </w:p>
    <w:p w14:paraId="495FC95D" w14:textId="77777777" w:rsidR="00223DFD" w:rsidRDefault="00223DFD" w:rsidP="00223DFD"/>
    <w:p w14:paraId="6801E731" w14:textId="389C6C97" w:rsidR="00554668" w:rsidRDefault="002E4F32" w:rsidP="000A3449">
      <w:r>
        <w:t>This guideline</w:t>
      </w:r>
      <w:r w:rsidR="000A3449">
        <w:t xml:space="preserve"> </w:t>
      </w:r>
      <w:r w:rsidR="002446F0">
        <w:t xml:space="preserve">is supported by the </w:t>
      </w:r>
      <w:r w:rsidR="00867055">
        <w:t>NENA Constitution</w:t>
      </w:r>
      <w:r w:rsidR="002446F0">
        <w:t xml:space="preserve"> and </w:t>
      </w:r>
      <w:r w:rsidR="00867055">
        <w:t>NENA Operational Handbook</w:t>
      </w:r>
    </w:p>
    <w:p w14:paraId="692F87DF" w14:textId="77777777" w:rsidR="004C0C35" w:rsidRDefault="004C0C35" w:rsidP="00554668"/>
    <w:p w14:paraId="5F7C619B" w14:textId="2AF61D92" w:rsidR="004C0C35" w:rsidRDefault="004C0C35" w:rsidP="004C0C35">
      <w:r>
        <w:t>NENA’s budget is designed to optimise NENA’s Principles for Working Together</w:t>
      </w:r>
      <w:r w:rsidR="008E16C7">
        <w:t xml:space="preserve"> </w:t>
      </w:r>
      <w:r>
        <w:t>approach</w:t>
      </w:r>
      <w:r w:rsidR="00554668">
        <w:t xml:space="preserve"> and</w:t>
      </w:r>
      <w:r>
        <w:t xml:space="preserve"> </w:t>
      </w:r>
      <w:r w:rsidRPr="0065598E">
        <w:t>support</w:t>
      </w:r>
      <w:r>
        <w:t>s</w:t>
      </w:r>
      <w:r w:rsidRPr="0065598E">
        <w:t xml:space="preserve"> distributed governance and shared decision making power</w:t>
      </w:r>
      <w:r>
        <w:t xml:space="preserve">, as per </w:t>
      </w:r>
      <w:r w:rsidR="00470EF4">
        <w:t xml:space="preserve">the </w:t>
      </w:r>
      <w:r w:rsidR="006B4054">
        <w:t>Constitution…</w:t>
      </w:r>
      <w:r w:rsidRPr="0065598E">
        <w:br/>
      </w:r>
    </w:p>
    <w:p w14:paraId="17464EA5" w14:textId="77777777" w:rsidR="00902837" w:rsidRPr="00A21D42" w:rsidRDefault="00902837" w:rsidP="00902837">
      <w:pPr>
        <w:rPr>
          <w:lang w:val="en-US"/>
        </w:rPr>
      </w:pPr>
      <w:r>
        <w:rPr>
          <w:lang w:val="en-US"/>
        </w:rPr>
        <w:t xml:space="preserve">The following key ‘cultures’ will be driving NENA’s development </w:t>
      </w:r>
    </w:p>
    <w:p w14:paraId="7F43CF8D" w14:textId="77777777" w:rsidR="00902837" w:rsidRDefault="00902837" w:rsidP="00902837">
      <w:pPr>
        <w:pStyle w:val="ListParagraph"/>
        <w:numPr>
          <w:ilvl w:val="0"/>
          <w:numId w:val="7"/>
        </w:numPr>
        <w:spacing w:after="160" w:line="259" w:lineRule="auto"/>
        <w:rPr>
          <w:lang w:val="en-US"/>
        </w:rPr>
      </w:pPr>
      <w:r w:rsidRPr="00A21D42">
        <w:rPr>
          <w:lang w:val="en-US"/>
        </w:rPr>
        <w:t>Free flowing information</w:t>
      </w:r>
    </w:p>
    <w:p w14:paraId="677E5C97" w14:textId="77777777" w:rsidR="00902837" w:rsidRDefault="00902837" w:rsidP="00902837">
      <w:pPr>
        <w:pStyle w:val="ListParagraph"/>
        <w:numPr>
          <w:ilvl w:val="0"/>
          <w:numId w:val="7"/>
        </w:numPr>
        <w:spacing w:after="160" w:line="259" w:lineRule="auto"/>
        <w:rPr>
          <w:lang w:val="en-US"/>
        </w:rPr>
      </w:pPr>
      <w:r w:rsidRPr="00A21D42">
        <w:rPr>
          <w:lang w:val="en-US"/>
        </w:rPr>
        <w:t>Individual autonomy</w:t>
      </w:r>
    </w:p>
    <w:p w14:paraId="75B2FD2C" w14:textId="77777777" w:rsidR="00902837" w:rsidRDefault="00902837" w:rsidP="00902837">
      <w:pPr>
        <w:pStyle w:val="ListParagraph"/>
        <w:numPr>
          <w:ilvl w:val="0"/>
          <w:numId w:val="7"/>
        </w:numPr>
        <w:spacing w:after="160" w:line="259" w:lineRule="auto"/>
        <w:rPr>
          <w:lang w:val="en-US"/>
        </w:rPr>
      </w:pPr>
      <w:r w:rsidRPr="00A21D42">
        <w:rPr>
          <w:lang w:val="en-US"/>
        </w:rPr>
        <w:t>Opportunity for All</w:t>
      </w:r>
    </w:p>
    <w:p w14:paraId="6EA76589" w14:textId="77777777" w:rsidR="00902837" w:rsidRDefault="00902837" w:rsidP="00902837">
      <w:pPr>
        <w:pStyle w:val="ListParagraph"/>
        <w:numPr>
          <w:ilvl w:val="0"/>
          <w:numId w:val="7"/>
        </w:numPr>
        <w:spacing w:after="160" w:line="259" w:lineRule="auto"/>
        <w:rPr>
          <w:lang w:val="en-US"/>
        </w:rPr>
      </w:pPr>
      <w:r w:rsidRPr="00A21D42">
        <w:rPr>
          <w:lang w:val="en-US"/>
        </w:rPr>
        <w:t>An atmosphere of trust and respect</w:t>
      </w:r>
    </w:p>
    <w:p w14:paraId="5A147684" w14:textId="32D09528" w:rsidR="00223DFD" w:rsidRDefault="00902837" w:rsidP="00223DFD">
      <w:pPr>
        <w:pStyle w:val="ListParagraph"/>
        <w:numPr>
          <w:ilvl w:val="0"/>
          <w:numId w:val="7"/>
        </w:numPr>
        <w:spacing w:after="160" w:line="259" w:lineRule="auto"/>
        <w:rPr>
          <w:lang w:val="en-US"/>
        </w:rPr>
      </w:pPr>
      <w:r w:rsidRPr="00A21D42">
        <w:rPr>
          <w:lang w:val="en-US"/>
        </w:rPr>
        <w:t>All share a stake in the outcome.</w:t>
      </w:r>
    </w:p>
    <w:p w14:paraId="6F1AE093" w14:textId="77777777" w:rsidR="00382B27" w:rsidRDefault="00382B27" w:rsidP="00223DFD"/>
    <w:p w14:paraId="07C85F4D" w14:textId="5FCAECD2" w:rsidR="00223DFD" w:rsidRPr="002E4F32" w:rsidRDefault="002E4F32" w:rsidP="00223DFD">
      <w:pPr>
        <w:pStyle w:val="Heading1"/>
        <w:rPr>
          <w:b w:val="0"/>
        </w:rPr>
      </w:pPr>
      <w:bookmarkStart w:id="2" w:name="_Toc42012188"/>
      <w:r w:rsidRPr="002E4F32">
        <w:t>Roles and Responsibilities</w:t>
      </w:r>
      <w:bookmarkEnd w:id="2"/>
    </w:p>
    <w:p w14:paraId="2C3BA8D3" w14:textId="77777777" w:rsidR="00223DFD" w:rsidRDefault="00223DFD" w:rsidP="00223DFD"/>
    <w:p w14:paraId="680808F6" w14:textId="77777777" w:rsidR="002446F0" w:rsidRDefault="002446F0" w:rsidP="002446F0">
      <w:r w:rsidRPr="00902837">
        <w:rPr>
          <w:b/>
        </w:rPr>
        <w:t>NENA members and Hubs</w:t>
      </w:r>
      <w:r>
        <w:t xml:space="preserve"> will:</w:t>
      </w:r>
    </w:p>
    <w:p w14:paraId="25ED98C3" w14:textId="6BB65C39" w:rsidR="009E59A2" w:rsidRDefault="00470EF4" w:rsidP="00902837">
      <w:pPr>
        <w:pStyle w:val="ListParagraph"/>
        <w:numPr>
          <w:ilvl w:val="0"/>
          <w:numId w:val="12"/>
        </w:numPr>
      </w:pPr>
      <w:r>
        <w:t>provide input into the Strategic Plan</w:t>
      </w:r>
      <w:r w:rsidR="00585C5D">
        <w:t xml:space="preserve"> and</w:t>
      </w:r>
      <w:r>
        <w:t xml:space="preserve"> </w:t>
      </w:r>
      <w:r w:rsidR="00585C5D">
        <w:t xml:space="preserve">NENA </w:t>
      </w:r>
      <w:r>
        <w:t xml:space="preserve">Annual Budget </w:t>
      </w:r>
    </w:p>
    <w:p w14:paraId="4F408339" w14:textId="7E6862FD" w:rsidR="00902837" w:rsidRDefault="00902837" w:rsidP="009E59A2">
      <w:pPr>
        <w:pStyle w:val="ListParagraph"/>
        <w:numPr>
          <w:ilvl w:val="0"/>
          <w:numId w:val="12"/>
        </w:numPr>
      </w:pPr>
      <w:r>
        <w:t>ensure that funds raised and spent are in accordance with this guideline</w:t>
      </w:r>
      <w:r w:rsidR="00585C5D">
        <w:t xml:space="preserve"> and the fundraising standards.</w:t>
      </w:r>
    </w:p>
    <w:p w14:paraId="568A52C2" w14:textId="77777777" w:rsidR="002446F0" w:rsidRDefault="002446F0" w:rsidP="00223DFD"/>
    <w:p w14:paraId="1395C168" w14:textId="1A1EB74B" w:rsidR="002446F0" w:rsidRDefault="002446F0" w:rsidP="00223DFD">
      <w:r>
        <w:t xml:space="preserve">The </w:t>
      </w:r>
      <w:r w:rsidRPr="00902837">
        <w:rPr>
          <w:b/>
        </w:rPr>
        <w:t>Participatory Budget Group</w:t>
      </w:r>
      <w:r>
        <w:t xml:space="preserve"> will:</w:t>
      </w:r>
    </w:p>
    <w:p w14:paraId="3D7A79B5" w14:textId="77777777" w:rsidR="00470EF4" w:rsidRPr="00585C5D" w:rsidRDefault="00470EF4" w:rsidP="00470EF4">
      <w:pPr>
        <w:pStyle w:val="NormalWeb"/>
        <w:numPr>
          <w:ilvl w:val="0"/>
          <w:numId w:val="9"/>
        </w:numPr>
        <w:rPr>
          <w:rFonts w:ascii="Calibri" w:hAnsi="Calibri"/>
        </w:rPr>
      </w:pPr>
      <w:r w:rsidRPr="00585C5D">
        <w:rPr>
          <w:rFonts w:ascii="Calibri" w:hAnsi="Calibri"/>
        </w:rPr>
        <w:t xml:space="preserve">identify and assess potential new funding and revenue options </w:t>
      </w:r>
    </w:p>
    <w:p w14:paraId="41E2F5E7" w14:textId="389C40A6" w:rsidR="00585C5D" w:rsidRPr="00585C5D" w:rsidRDefault="009B5C5E" w:rsidP="00585C5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585C5D">
        <w:rPr>
          <w:rFonts w:ascii="Calibri" w:hAnsi="Calibri"/>
        </w:rPr>
        <w:t xml:space="preserve">work co-operatively with the Board </w:t>
      </w:r>
      <w:r w:rsidR="00585C5D" w:rsidRPr="00585C5D">
        <w:rPr>
          <w:rFonts w:ascii="Calibri" w:hAnsi="Calibri"/>
        </w:rPr>
        <w:t xml:space="preserve">and Hubs </w:t>
      </w:r>
      <w:r w:rsidRPr="00585C5D">
        <w:rPr>
          <w:rFonts w:ascii="Calibri" w:hAnsi="Calibri"/>
        </w:rPr>
        <w:t xml:space="preserve">to ensure funding is raised from </w:t>
      </w:r>
      <w:r w:rsidR="00585C5D" w:rsidRPr="00585C5D">
        <w:rPr>
          <w:rFonts w:ascii="Calibri" w:hAnsi="Calibri"/>
        </w:rPr>
        <w:t>appropriate</w:t>
      </w:r>
      <w:r w:rsidRPr="00585C5D">
        <w:rPr>
          <w:rFonts w:ascii="Calibri" w:hAnsi="Calibri"/>
        </w:rPr>
        <w:t xml:space="preserve"> sources that align with the purpose and primary activities of the co-operative</w:t>
      </w:r>
    </w:p>
    <w:p w14:paraId="6E5BBB7E" w14:textId="37B9A560" w:rsidR="00585C5D" w:rsidRPr="00585C5D" w:rsidRDefault="00585C5D" w:rsidP="00585C5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585C5D">
        <w:rPr>
          <w:rFonts w:ascii="Calibri" w:hAnsi="Calibri"/>
        </w:rPr>
        <w:t xml:space="preserve">coordinate the preparation and approval of the NENA annual budget </w:t>
      </w:r>
    </w:p>
    <w:p w14:paraId="42056B56" w14:textId="77777777" w:rsidR="00585C5D" w:rsidRPr="00585C5D" w:rsidRDefault="00585C5D" w:rsidP="00585C5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585C5D">
        <w:rPr>
          <w:rFonts w:ascii="Calibri" w:hAnsi="Calibri"/>
        </w:rPr>
        <w:t>develop, maintain and review budget policies, processes and related documents.</w:t>
      </w:r>
    </w:p>
    <w:p w14:paraId="2770035A" w14:textId="64F3891F" w:rsidR="009B5C5E" w:rsidRPr="00585C5D" w:rsidRDefault="009B5C5E" w:rsidP="00585C5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585C5D">
        <w:rPr>
          <w:rFonts w:ascii="Calibri" w:hAnsi="Calibri"/>
        </w:rPr>
        <w:t>coordinate requests for funding outside of the annual budget process</w:t>
      </w:r>
    </w:p>
    <w:p w14:paraId="522BCF8E" w14:textId="77777777" w:rsidR="009B5C5E" w:rsidRDefault="009B5C5E" w:rsidP="00223DFD">
      <w:pPr>
        <w:rPr>
          <w:rFonts w:ascii="Calibri" w:hAnsi="Calibri"/>
          <w:sz w:val="22"/>
          <w:szCs w:val="22"/>
        </w:rPr>
      </w:pPr>
    </w:p>
    <w:p w14:paraId="75D43E9C" w14:textId="17FC52A5" w:rsidR="00585C5D" w:rsidRDefault="002446F0" w:rsidP="00585C5D">
      <w:r>
        <w:t xml:space="preserve">The </w:t>
      </w:r>
      <w:r w:rsidRPr="00902837">
        <w:rPr>
          <w:b/>
        </w:rPr>
        <w:t>Strategic Directions Group</w:t>
      </w:r>
      <w:r>
        <w:t xml:space="preserve"> will:</w:t>
      </w:r>
    </w:p>
    <w:p w14:paraId="2797F44D" w14:textId="5275C28C" w:rsidR="002446F0" w:rsidRDefault="002446F0" w:rsidP="002446F0">
      <w:pPr>
        <w:pStyle w:val="ListParagraph"/>
        <w:numPr>
          <w:ilvl w:val="0"/>
          <w:numId w:val="10"/>
        </w:numPr>
      </w:pPr>
      <w:r>
        <w:t>work co-operatively with the Participatory Budget Group to ensure the budget aligns with the strategic priorities of the co-operative</w:t>
      </w:r>
    </w:p>
    <w:p w14:paraId="25268980" w14:textId="45FB44E7" w:rsidR="002446F0" w:rsidRDefault="002446F0" w:rsidP="002446F0">
      <w:pPr>
        <w:pStyle w:val="ListParagraph"/>
        <w:numPr>
          <w:ilvl w:val="0"/>
          <w:numId w:val="10"/>
        </w:numPr>
      </w:pPr>
      <w:r>
        <w:t xml:space="preserve">provide general advice to the </w:t>
      </w:r>
      <w:r w:rsidR="009B5C5E">
        <w:t>Participatory</w:t>
      </w:r>
      <w:r>
        <w:t xml:space="preserve"> Budget Group about strategic priorities and how that may </w:t>
      </w:r>
      <w:r w:rsidR="00902837">
        <w:t>effect core funding priorities</w:t>
      </w:r>
    </w:p>
    <w:p w14:paraId="606F27CA" w14:textId="77777777" w:rsidR="002446F0" w:rsidRDefault="002446F0" w:rsidP="00223DFD"/>
    <w:p w14:paraId="276A7145" w14:textId="174CA0EF" w:rsidR="002446F0" w:rsidRDefault="002446F0" w:rsidP="00223DFD">
      <w:r>
        <w:t xml:space="preserve">The </w:t>
      </w:r>
      <w:r w:rsidRPr="00902837">
        <w:rPr>
          <w:b/>
        </w:rPr>
        <w:t>NENA Board</w:t>
      </w:r>
      <w:r>
        <w:t xml:space="preserve"> will:</w:t>
      </w:r>
    </w:p>
    <w:p w14:paraId="538F3E43" w14:textId="43506EBC" w:rsidR="00585C5D" w:rsidRDefault="00585C5D" w:rsidP="00902837">
      <w:pPr>
        <w:pStyle w:val="ListParagraph"/>
        <w:numPr>
          <w:ilvl w:val="0"/>
          <w:numId w:val="9"/>
        </w:numPr>
      </w:pPr>
      <w:r>
        <w:t>oversee the preparation of and approve the NENA Annual Budget</w:t>
      </w:r>
    </w:p>
    <w:p w14:paraId="23D2F155" w14:textId="51016963" w:rsidR="00902837" w:rsidRDefault="00902837" w:rsidP="00902837">
      <w:pPr>
        <w:pStyle w:val="ListParagraph"/>
        <w:numPr>
          <w:ilvl w:val="0"/>
          <w:numId w:val="9"/>
        </w:numPr>
      </w:pPr>
      <w:r>
        <w:t xml:space="preserve">work co-operatively with the Participatory Budget Group </w:t>
      </w:r>
      <w:r>
        <w:rPr>
          <w:rFonts w:ascii="Calibri" w:hAnsi="Calibri"/>
          <w:sz w:val="22"/>
          <w:szCs w:val="22"/>
        </w:rPr>
        <w:t xml:space="preserve">to ensure funding is raised from </w:t>
      </w:r>
      <w:r w:rsidR="00585C5D">
        <w:rPr>
          <w:rFonts w:ascii="Calibri" w:hAnsi="Calibri"/>
          <w:sz w:val="22"/>
          <w:szCs w:val="22"/>
        </w:rPr>
        <w:t>appropriate</w:t>
      </w:r>
      <w:r w:rsidR="009B5C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sources that align with the purpose and primary activities of the co-operative</w:t>
      </w:r>
    </w:p>
    <w:p w14:paraId="364C520A" w14:textId="2F5933C4" w:rsidR="002446F0" w:rsidRDefault="00902837" w:rsidP="00902837">
      <w:pPr>
        <w:pStyle w:val="ListParagraph"/>
        <w:numPr>
          <w:ilvl w:val="0"/>
          <w:numId w:val="11"/>
        </w:numPr>
      </w:pPr>
      <w:r>
        <w:t>seek advice from the Participatory Budget Group</w:t>
      </w:r>
    </w:p>
    <w:p w14:paraId="3C45643C" w14:textId="28F2484E" w:rsidR="00223DFD" w:rsidRDefault="00223DFD" w:rsidP="00223DFD"/>
    <w:p w14:paraId="744A4026" w14:textId="77777777" w:rsidR="002F4FF8" w:rsidRDefault="002F4FF8" w:rsidP="002F4FF8"/>
    <w:p w14:paraId="5F8BEDBC" w14:textId="3EFE7AFA" w:rsidR="002F4FF8" w:rsidRPr="002E4F32" w:rsidRDefault="00D968C7" w:rsidP="002F4FF8">
      <w:pPr>
        <w:pStyle w:val="Heading1"/>
        <w:rPr>
          <w:b w:val="0"/>
        </w:rPr>
      </w:pPr>
      <w:bookmarkStart w:id="3" w:name="_Toc42012189"/>
      <w:r>
        <w:t>Raising Funds &amp; Revenue</w:t>
      </w:r>
      <w:bookmarkEnd w:id="3"/>
      <w:r>
        <w:t xml:space="preserve"> </w:t>
      </w:r>
    </w:p>
    <w:p w14:paraId="162C2FEC" w14:textId="77777777" w:rsidR="002F4FF8" w:rsidRDefault="002F4FF8" w:rsidP="002F4FF8"/>
    <w:p w14:paraId="2B1C749F" w14:textId="55BC5292" w:rsidR="004F47EB" w:rsidRPr="004F47EB" w:rsidRDefault="004F47EB" w:rsidP="004F47EB">
      <w:pPr>
        <w:pStyle w:val="ListParagraph"/>
        <w:numPr>
          <w:ilvl w:val="1"/>
          <w:numId w:val="1"/>
        </w:numPr>
        <w:rPr>
          <w:b/>
        </w:rPr>
      </w:pPr>
      <w:r w:rsidRPr="004F47EB">
        <w:rPr>
          <w:b/>
        </w:rPr>
        <w:t>Appropriate fundraising and revenue activities</w:t>
      </w:r>
    </w:p>
    <w:p w14:paraId="09F0ABE0" w14:textId="5EB18BF2" w:rsidR="00A7046D" w:rsidRPr="00304A10" w:rsidRDefault="0092406B" w:rsidP="002F4FF8">
      <w:r w:rsidRPr="00304A10">
        <w:t>NENA raises funds t</w:t>
      </w:r>
      <w:r w:rsidR="00552FD1" w:rsidRPr="00304A10">
        <w:t>hrough co-operative activities. Sources of revenue include but are not limited to member fees, event fees</w:t>
      </w:r>
      <w:r w:rsidR="00B94EDE">
        <w:t xml:space="preserve"> and donations</w:t>
      </w:r>
      <w:r w:rsidR="00552FD1" w:rsidRPr="00304A10">
        <w:t>.</w:t>
      </w:r>
    </w:p>
    <w:p w14:paraId="1C809170" w14:textId="77777777" w:rsidR="0092406B" w:rsidRDefault="0092406B" w:rsidP="002F4FF8"/>
    <w:p w14:paraId="78E652B5" w14:textId="1F2BE493" w:rsidR="0092406B" w:rsidRPr="00304A10" w:rsidRDefault="00A7046D" w:rsidP="002F4FF8">
      <w:r>
        <w:t>Funds can be raised by NENA Hubs and members</w:t>
      </w:r>
      <w:r w:rsidR="004F47EB">
        <w:t xml:space="preserve"> and</w:t>
      </w:r>
      <w:r>
        <w:t xml:space="preserve"> </w:t>
      </w:r>
      <w:r w:rsidR="0092406B" w:rsidRPr="00304A10">
        <w:t>should:</w:t>
      </w:r>
    </w:p>
    <w:p w14:paraId="2E27C6B1" w14:textId="1E87826A" w:rsidR="00B94EDE" w:rsidRPr="00A7046D" w:rsidRDefault="00B94EDE" w:rsidP="0092406B">
      <w:pPr>
        <w:pStyle w:val="ListParagraph"/>
        <w:numPr>
          <w:ilvl w:val="0"/>
          <w:numId w:val="9"/>
        </w:numPr>
      </w:pPr>
      <w:r w:rsidRPr="00A7046D">
        <w:t xml:space="preserve">Adhere to </w:t>
      </w:r>
      <w:r w:rsidR="00A7046D" w:rsidRPr="00A7046D">
        <w:t>F</w:t>
      </w:r>
      <w:r w:rsidRPr="00A7046D">
        <w:t xml:space="preserve">undraising </w:t>
      </w:r>
      <w:r w:rsidR="00A7046D" w:rsidRPr="00A7046D">
        <w:t>S</w:t>
      </w:r>
      <w:r w:rsidR="009B5C5E" w:rsidRPr="00A7046D">
        <w:t>tandards (Appendix A)</w:t>
      </w:r>
    </w:p>
    <w:p w14:paraId="4AD8DD19" w14:textId="46FE429A" w:rsidR="0092406B" w:rsidRPr="00A7046D" w:rsidRDefault="0092406B" w:rsidP="0092406B">
      <w:pPr>
        <w:pStyle w:val="ListParagraph"/>
        <w:numPr>
          <w:ilvl w:val="0"/>
          <w:numId w:val="9"/>
        </w:numPr>
      </w:pPr>
      <w:r w:rsidRPr="00A7046D">
        <w:t>Align with the purpose and primary activities of the co-operative</w:t>
      </w:r>
    </w:p>
    <w:p w14:paraId="7F56D710" w14:textId="77777777" w:rsidR="00BE48C4" w:rsidRDefault="00BE48C4" w:rsidP="002F4FF8"/>
    <w:p w14:paraId="71ECA428" w14:textId="3BC3EC08" w:rsidR="004F47EB" w:rsidRDefault="004F47EB" w:rsidP="002F4FF8">
      <w:r>
        <w:t>Fundraising opportunities that may not meet these principles should be discussed with the Participatory Budget Group.</w:t>
      </w:r>
    </w:p>
    <w:p w14:paraId="322B575A" w14:textId="77777777" w:rsidR="004F47EB" w:rsidRDefault="004F47EB" w:rsidP="002F4FF8"/>
    <w:p w14:paraId="796F2F69" w14:textId="0C2D419A" w:rsidR="004F47EB" w:rsidRPr="004F47EB" w:rsidRDefault="004F47EB" w:rsidP="002F4FF8">
      <w:pPr>
        <w:rPr>
          <w:b/>
        </w:rPr>
      </w:pPr>
      <w:r w:rsidRPr="004F47EB">
        <w:rPr>
          <w:b/>
        </w:rPr>
        <w:t>6.2. Identifying funding and revenue opportunities</w:t>
      </w:r>
    </w:p>
    <w:p w14:paraId="43B4075D" w14:textId="77777777" w:rsidR="00A079A3" w:rsidRDefault="004F47EB" w:rsidP="002F4FF8">
      <w:r>
        <w:t xml:space="preserve">The PBG identifies revenue and fundraising options to deliver the Annual Strategic Plan and other NENA activities. </w:t>
      </w:r>
    </w:p>
    <w:p w14:paraId="36B36163" w14:textId="77777777" w:rsidR="00A079A3" w:rsidRDefault="00A079A3" w:rsidP="002F4FF8"/>
    <w:p w14:paraId="6183E242" w14:textId="1B8BE59B" w:rsidR="00A079A3" w:rsidRDefault="004F47EB" w:rsidP="002F4FF8">
      <w:r>
        <w:t>The PBG provides quarterly advice and recommendations to the NENA Board and Hubs</w:t>
      </w:r>
      <w:r w:rsidR="00A079A3">
        <w:t xml:space="preserve"> on funding and revenue opportunities.</w:t>
      </w:r>
    </w:p>
    <w:p w14:paraId="343E2003" w14:textId="77777777" w:rsidR="004F47EB" w:rsidRDefault="004F47EB" w:rsidP="002F4FF8"/>
    <w:p w14:paraId="0631442C" w14:textId="6239538A" w:rsidR="004F47EB" w:rsidRPr="004F47EB" w:rsidRDefault="004F47EB" w:rsidP="002F4FF8">
      <w:pPr>
        <w:rPr>
          <w:b/>
        </w:rPr>
      </w:pPr>
      <w:r w:rsidRPr="004F47EB">
        <w:rPr>
          <w:b/>
        </w:rPr>
        <w:t xml:space="preserve">6.3. </w:t>
      </w:r>
      <w:r>
        <w:rPr>
          <w:b/>
        </w:rPr>
        <w:t>Applying for funding</w:t>
      </w:r>
    </w:p>
    <w:p w14:paraId="4764352F" w14:textId="118168DB" w:rsidR="004F47EB" w:rsidRDefault="00A079A3" w:rsidP="002F4FF8">
      <w:r>
        <w:t>All NENA Hubs and Members can apply for funding through grants and similar.</w:t>
      </w:r>
    </w:p>
    <w:p w14:paraId="60F426CD" w14:textId="77777777" w:rsidR="00A079A3" w:rsidRDefault="00A079A3" w:rsidP="002F4FF8"/>
    <w:p w14:paraId="43C2E432" w14:textId="26B93D77" w:rsidR="004F47EB" w:rsidRDefault="004F47EB" w:rsidP="002F4FF8">
      <w:r>
        <w:t xml:space="preserve">Hubs can seek advice from the PBG to prepare applications for grants and similar. </w:t>
      </w:r>
    </w:p>
    <w:p w14:paraId="4E94520C" w14:textId="77777777" w:rsidR="004F47EB" w:rsidRDefault="004F47EB" w:rsidP="002F4FF8"/>
    <w:p w14:paraId="714064F7" w14:textId="77777777" w:rsidR="00A079A3" w:rsidRPr="002E4F32" w:rsidRDefault="00A079A3" w:rsidP="00A079A3">
      <w:pPr>
        <w:pStyle w:val="Heading1"/>
        <w:rPr>
          <w:b w:val="0"/>
        </w:rPr>
      </w:pPr>
      <w:bookmarkStart w:id="4" w:name="_Toc42012190"/>
      <w:r>
        <w:t>Distributing funds raised by the Co-operative</w:t>
      </w:r>
      <w:bookmarkEnd w:id="4"/>
    </w:p>
    <w:p w14:paraId="76A106A4" w14:textId="77777777" w:rsidR="00A079A3" w:rsidRDefault="00A079A3" w:rsidP="00A079A3"/>
    <w:p w14:paraId="201A96E2" w14:textId="3C9C8820" w:rsidR="00A079A3" w:rsidRDefault="00A079A3" w:rsidP="00A079A3">
      <w:r>
        <w:t xml:space="preserve">Funds raised by NENA activities are distributed in the following way: </w:t>
      </w:r>
    </w:p>
    <w:p w14:paraId="4278883C" w14:textId="27CEBFCD" w:rsidR="00A079A3" w:rsidRDefault="00A079A3" w:rsidP="00A07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935"/>
        <w:gridCol w:w="3657"/>
      </w:tblGrid>
      <w:tr w:rsidR="00A079A3" w14:paraId="14A19290" w14:textId="77777777" w:rsidTr="00A079A3">
        <w:tc>
          <w:tcPr>
            <w:tcW w:w="3418" w:type="dxa"/>
          </w:tcPr>
          <w:p w14:paraId="250F3419" w14:textId="77777777" w:rsidR="00A079A3" w:rsidRPr="001153A2" w:rsidRDefault="00A079A3" w:rsidP="00F33BA9">
            <w:pPr>
              <w:rPr>
                <w:b/>
              </w:rPr>
            </w:pPr>
            <w:r w:rsidRPr="001153A2">
              <w:rPr>
                <w:b/>
              </w:rPr>
              <w:t>Funds/Revenue</w:t>
            </w:r>
          </w:p>
        </w:tc>
        <w:tc>
          <w:tcPr>
            <w:tcW w:w="1935" w:type="dxa"/>
          </w:tcPr>
          <w:p w14:paraId="534E75CD" w14:textId="56EA0FFE" w:rsidR="00A079A3" w:rsidRPr="00EB1165" w:rsidRDefault="00A079A3" w:rsidP="00F33BA9">
            <w:pPr>
              <w:rPr>
                <w:b/>
              </w:rPr>
            </w:pPr>
            <w:r>
              <w:rPr>
                <w:b/>
              </w:rPr>
              <w:t xml:space="preserve">Collective </w:t>
            </w:r>
            <w:r w:rsidRPr="00EB1165">
              <w:rPr>
                <w:b/>
              </w:rPr>
              <w:t>Pool</w:t>
            </w:r>
            <w:r>
              <w:rPr>
                <w:b/>
              </w:rPr>
              <w:t xml:space="preserve"> </w:t>
            </w:r>
          </w:p>
        </w:tc>
        <w:tc>
          <w:tcPr>
            <w:tcW w:w="3657" w:type="dxa"/>
          </w:tcPr>
          <w:p w14:paraId="040A27B2" w14:textId="77777777" w:rsidR="00A079A3" w:rsidRPr="00EB1165" w:rsidRDefault="00A079A3" w:rsidP="00F33BA9">
            <w:pPr>
              <w:rPr>
                <w:b/>
              </w:rPr>
            </w:pPr>
            <w:r w:rsidRPr="00EB1165">
              <w:rPr>
                <w:b/>
              </w:rPr>
              <w:t>Hub Pool</w:t>
            </w:r>
          </w:p>
        </w:tc>
      </w:tr>
      <w:tr w:rsidR="00A079A3" w14:paraId="5DE5ACB1" w14:textId="77777777" w:rsidTr="00A079A3">
        <w:tc>
          <w:tcPr>
            <w:tcW w:w="3418" w:type="dxa"/>
          </w:tcPr>
          <w:p w14:paraId="158048F3" w14:textId="77777777" w:rsidR="00A079A3" w:rsidRDefault="00A079A3" w:rsidP="00F33BA9">
            <w:r>
              <w:t>Member fees</w:t>
            </w:r>
          </w:p>
        </w:tc>
        <w:tc>
          <w:tcPr>
            <w:tcW w:w="1935" w:type="dxa"/>
          </w:tcPr>
          <w:p w14:paraId="757B5350" w14:textId="77777777" w:rsidR="00A079A3" w:rsidRDefault="00A079A3" w:rsidP="00F33BA9">
            <w:r>
              <w:t>100%</w:t>
            </w:r>
          </w:p>
        </w:tc>
        <w:tc>
          <w:tcPr>
            <w:tcW w:w="3657" w:type="dxa"/>
          </w:tcPr>
          <w:p w14:paraId="17381761" w14:textId="3EC51AA1" w:rsidR="00A079A3" w:rsidRDefault="00A079A3" w:rsidP="00A079A3">
            <w:r w:rsidRPr="00533769">
              <w:t xml:space="preserve">Once core operating costs are met, member recruiting Hubs could receive a portion of member fees </w:t>
            </w:r>
          </w:p>
        </w:tc>
      </w:tr>
      <w:tr w:rsidR="00A079A3" w14:paraId="631B5B6B" w14:textId="77777777" w:rsidTr="00A079A3">
        <w:tc>
          <w:tcPr>
            <w:tcW w:w="3418" w:type="dxa"/>
          </w:tcPr>
          <w:p w14:paraId="4F1EF4F1" w14:textId="77777777" w:rsidR="00A079A3" w:rsidRDefault="00A079A3" w:rsidP="00F33BA9">
            <w:r>
              <w:t>NENA Journal</w:t>
            </w:r>
          </w:p>
        </w:tc>
        <w:tc>
          <w:tcPr>
            <w:tcW w:w="1935" w:type="dxa"/>
          </w:tcPr>
          <w:p w14:paraId="71A797F1" w14:textId="5F339288" w:rsidR="00A079A3" w:rsidRDefault="00A079A3" w:rsidP="00F33BA9">
            <w:r>
              <w:t>?</w:t>
            </w:r>
          </w:p>
        </w:tc>
        <w:tc>
          <w:tcPr>
            <w:tcW w:w="3657" w:type="dxa"/>
          </w:tcPr>
          <w:p w14:paraId="457CE2F3" w14:textId="77777777" w:rsidR="00A079A3" w:rsidRDefault="00A079A3" w:rsidP="00F33BA9"/>
        </w:tc>
      </w:tr>
      <w:tr w:rsidR="00A079A3" w14:paraId="40ABEDE8" w14:textId="77777777" w:rsidTr="00A079A3">
        <w:tc>
          <w:tcPr>
            <w:tcW w:w="3418" w:type="dxa"/>
          </w:tcPr>
          <w:p w14:paraId="2B8EFB3A" w14:textId="77777777" w:rsidR="00A079A3" w:rsidRDefault="00A079A3" w:rsidP="00F33BA9">
            <w:r>
              <w:t>Hub fundraising activities</w:t>
            </w:r>
          </w:p>
        </w:tc>
        <w:tc>
          <w:tcPr>
            <w:tcW w:w="1935" w:type="dxa"/>
          </w:tcPr>
          <w:p w14:paraId="2748B45E" w14:textId="2A9B7851" w:rsidR="00A079A3" w:rsidRDefault="00A079A3" w:rsidP="00F33BA9">
            <w:r>
              <w:t>20%</w:t>
            </w:r>
          </w:p>
        </w:tc>
        <w:tc>
          <w:tcPr>
            <w:tcW w:w="3657" w:type="dxa"/>
          </w:tcPr>
          <w:p w14:paraId="2B3C3AE3" w14:textId="29638F7F" w:rsidR="00A079A3" w:rsidRDefault="00A079A3" w:rsidP="00F33BA9">
            <w:r>
              <w:t>80%</w:t>
            </w:r>
          </w:p>
        </w:tc>
      </w:tr>
      <w:tr w:rsidR="00A079A3" w14:paraId="4707F492" w14:textId="77777777" w:rsidTr="00A079A3">
        <w:tc>
          <w:tcPr>
            <w:tcW w:w="3418" w:type="dxa"/>
          </w:tcPr>
          <w:p w14:paraId="1ED2B626" w14:textId="77777777" w:rsidR="00A079A3" w:rsidRDefault="00A079A3" w:rsidP="00F33BA9">
            <w:r>
              <w:t>Joint Hub fundraising</w:t>
            </w:r>
          </w:p>
        </w:tc>
        <w:tc>
          <w:tcPr>
            <w:tcW w:w="1935" w:type="dxa"/>
          </w:tcPr>
          <w:p w14:paraId="14A2939E" w14:textId="6B84CD55" w:rsidR="00A079A3" w:rsidRDefault="00A079A3" w:rsidP="00F33BA9">
            <w:r>
              <w:t>20%</w:t>
            </w:r>
          </w:p>
        </w:tc>
        <w:tc>
          <w:tcPr>
            <w:tcW w:w="3657" w:type="dxa"/>
          </w:tcPr>
          <w:p w14:paraId="3C05D6A3" w14:textId="77777777" w:rsidR="00A079A3" w:rsidRDefault="00A079A3" w:rsidP="00F33BA9">
            <w:r>
              <w:t>As agreed by the Hubs involved</w:t>
            </w:r>
          </w:p>
        </w:tc>
      </w:tr>
    </w:tbl>
    <w:p w14:paraId="75E03B4A" w14:textId="77777777" w:rsidR="00A079A3" w:rsidRDefault="00A079A3" w:rsidP="00A079A3"/>
    <w:p w14:paraId="073D0B83" w14:textId="13B7F08A" w:rsidR="00A079A3" w:rsidRDefault="00A079A3" w:rsidP="00A079A3">
      <w:r>
        <w:t xml:space="preserve">A portion of funds raised by Hubs is provided to the Collective Pool as the Cooperative has core operating costs which have priority in the distribution of funds.  </w:t>
      </w:r>
    </w:p>
    <w:p w14:paraId="4BEF59FC" w14:textId="77777777" w:rsidR="00A079A3" w:rsidRDefault="00A079A3" w:rsidP="00A079A3"/>
    <w:p w14:paraId="385BF7A2" w14:textId="77777777" w:rsidR="00A079A3" w:rsidRDefault="00A079A3" w:rsidP="00A079A3">
      <w:r>
        <w:t>Any member can request a distribution review for consideration at NENA’s AGM.</w:t>
      </w:r>
    </w:p>
    <w:p w14:paraId="2DE38631" w14:textId="77777777" w:rsidR="00A079A3" w:rsidRDefault="00A079A3" w:rsidP="002F4FF8"/>
    <w:p w14:paraId="3C2E166C" w14:textId="77777777" w:rsidR="00A079A3" w:rsidRDefault="00A079A3" w:rsidP="002F4FF8"/>
    <w:p w14:paraId="4E4B6843" w14:textId="6C2C501F" w:rsidR="00A575A5" w:rsidRPr="002E4F32" w:rsidRDefault="00A575A5" w:rsidP="00A575A5">
      <w:pPr>
        <w:pStyle w:val="Heading1"/>
        <w:rPr>
          <w:b w:val="0"/>
        </w:rPr>
      </w:pPr>
      <w:bookmarkStart w:id="5" w:name="_Toc42012191"/>
      <w:r>
        <w:t>Financial Risk and Quality Assurance</w:t>
      </w:r>
      <w:bookmarkEnd w:id="5"/>
    </w:p>
    <w:p w14:paraId="4744A894" w14:textId="77777777" w:rsidR="00BE48C4" w:rsidRDefault="00BE48C4" w:rsidP="002F4FF8"/>
    <w:p w14:paraId="790DF40D" w14:textId="1B515C1E" w:rsidR="008B119C" w:rsidRPr="007D057A" w:rsidRDefault="00A079A3" w:rsidP="002F4FF8">
      <w:pPr>
        <w:rPr>
          <w:b/>
        </w:rPr>
      </w:pPr>
      <w:r>
        <w:rPr>
          <w:b/>
        </w:rPr>
        <w:t xml:space="preserve">8.1. </w:t>
      </w:r>
      <w:r w:rsidR="008B119C" w:rsidRPr="00A079A3">
        <w:rPr>
          <w:b/>
        </w:rPr>
        <w:t>Financial Risk</w:t>
      </w:r>
    </w:p>
    <w:p w14:paraId="4BBBFE7F" w14:textId="5FCAF424" w:rsidR="009B5C5E" w:rsidRDefault="009B5C5E" w:rsidP="009B5C5E">
      <w:r w:rsidRPr="0052163B">
        <w:t>Fundraising activities should not be undertaken if they would expose the organisation to significant financial risk.</w:t>
      </w:r>
    </w:p>
    <w:p w14:paraId="1D2EE83A" w14:textId="77777777" w:rsidR="008B119C" w:rsidRPr="00304A10" w:rsidRDefault="008B119C" w:rsidP="008B119C"/>
    <w:p w14:paraId="2B8FA7C1" w14:textId="0BD2811D" w:rsidR="008B119C" w:rsidRPr="00304A10" w:rsidRDefault="00043EA4" w:rsidP="008B119C">
      <w:r w:rsidRPr="00304A10">
        <w:t xml:space="preserve">Major fundraising activities are overseen by the PBG, and the Board and include likely </w:t>
      </w:r>
      <w:r>
        <w:t xml:space="preserve">event/activity costs greater than $500. </w:t>
      </w:r>
    </w:p>
    <w:p w14:paraId="27588219" w14:textId="77777777" w:rsidR="008B119C" w:rsidRDefault="008B119C" w:rsidP="002F4FF8"/>
    <w:p w14:paraId="0D55A9E8" w14:textId="41060816" w:rsidR="00304A10" w:rsidRPr="00304A10" w:rsidRDefault="00552FD1" w:rsidP="002F4FF8">
      <w:r w:rsidRPr="00304A10">
        <w:t>Standard fundraising activitie</w:t>
      </w:r>
      <w:r w:rsidR="00304A10" w:rsidRPr="00304A10">
        <w:t xml:space="preserve">s are </w:t>
      </w:r>
      <w:r w:rsidR="00043EA4">
        <w:t>managed</w:t>
      </w:r>
      <w:r w:rsidR="00043EA4" w:rsidRPr="00304A10">
        <w:t xml:space="preserve"> </w:t>
      </w:r>
      <w:r w:rsidR="00304A10" w:rsidRPr="00304A10">
        <w:t xml:space="preserve">by the </w:t>
      </w:r>
      <w:r w:rsidR="00043EA4">
        <w:t>relevant</w:t>
      </w:r>
      <w:r w:rsidR="00043EA4" w:rsidRPr="00304A10">
        <w:t xml:space="preserve"> </w:t>
      </w:r>
      <w:r w:rsidR="00304A10" w:rsidRPr="00304A10">
        <w:t xml:space="preserve">Hub. Standard fundraising activities include </w:t>
      </w:r>
      <w:r w:rsidR="008B119C">
        <w:t>event/activity costs of</w:t>
      </w:r>
      <w:r w:rsidR="00304A10" w:rsidRPr="00304A10">
        <w:t xml:space="preserve"> less than $500</w:t>
      </w:r>
    </w:p>
    <w:p w14:paraId="02BEC1D8" w14:textId="77777777" w:rsidR="00552FD1" w:rsidRPr="00304A10" w:rsidRDefault="00552FD1" w:rsidP="002F4FF8"/>
    <w:p w14:paraId="02262A72" w14:textId="28B5205E" w:rsidR="00552FD1" w:rsidRDefault="00043EA4" w:rsidP="002F4FF8">
      <w:r w:rsidRPr="00304A10">
        <w:t xml:space="preserve">A statement estimating income and expenses </w:t>
      </w:r>
      <w:r>
        <w:t>is to</w:t>
      </w:r>
      <w:r w:rsidRPr="00304A10">
        <w:t xml:space="preserve"> be prepared prior to the commencement of any new fundraising activity </w:t>
      </w:r>
      <w:r>
        <w:t>to assess</w:t>
      </w:r>
      <w:r w:rsidRPr="00304A10">
        <w:t xml:space="preserve"> financial risk </w:t>
      </w:r>
    </w:p>
    <w:p w14:paraId="09FA7F6E" w14:textId="77777777" w:rsidR="00552FD1" w:rsidRPr="00304A10" w:rsidRDefault="00552FD1" w:rsidP="002F4FF8"/>
    <w:p w14:paraId="6A4C8586" w14:textId="1858FD18" w:rsidR="0092406B" w:rsidRDefault="0092406B" w:rsidP="002F4FF8">
      <w:r w:rsidRPr="00304A10">
        <w:t>Fundraising sources and activities that may not meet these requirements must be referred to the PBG for review and the Board for approval.</w:t>
      </w:r>
    </w:p>
    <w:p w14:paraId="01776CA0" w14:textId="77777777" w:rsidR="004323CA" w:rsidRPr="00304A10" w:rsidRDefault="004323CA" w:rsidP="002F4FF8"/>
    <w:p w14:paraId="389092B7" w14:textId="1B47B7DA" w:rsidR="004323CA" w:rsidRPr="00CC3D70" w:rsidRDefault="00A079A3" w:rsidP="002F4FF8">
      <w:pPr>
        <w:rPr>
          <w:b/>
        </w:rPr>
      </w:pPr>
      <w:r>
        <w:rPr>
          <w:b/>
        </w:rPr>
        <w:t xml:space="preserve">8.2. </w:t>
      </w:r>
      <w:r w:rsidR="004323CA" w:rsidRPr="00CC3D70">
        <w:rPr>
          <w:b/>
        </w:rPr>
        <w:t>Quality Assurance</w:t>
      </w:r>
    </w:p>
    <w:p w14:paraId="1D59502C" w14:textId="2964EE94" w:rsidR="004323CA" w:rsidRDefault="004323CA" w:rsidP="002F4FF8">
      <w:r>
        <w:t>The Participatory Budget Group will undertake audits of fundraising activities as required for quality assurance and continual improvement purposes.</w:t>
      </w:r>
    </w:p>
    <w:p w14:paraId="7BE25379" w14:textId="77777777" w:rsidR="004323CA" w:rsidRDefault="004323CA" w:rsidP="002F4FF8"/>
    <w:p w14:paraId="0D8658C5" w14:textId="1509A873" w:rsidR="004323CA" w:rsidRDefault="004323CA" w:rsidP="002F4FF8">
      <w:r>
        <w:t>These audits will be undertaken jointly with the relevant Hub</w:t>
      </w:r>
      <w:r w:rsidR="001A2043">
        <w:t xml:space="preserve"> and any ‘cooperative wide’ learnings will be shared with other Hubs</w:t>
      </w:r>
    </w:p>
    <w:p w14:paraId="34CC9378" w14:textId="77777777" w:rsidR="004323CA" w:rsidRDefault="004323CA" w:rsidP="002F4FF8"/>
    <w:p w14:paraId="2A5592CB" w14:textId="2C3138C0" w:rsidR="00BE48C4" w:rsidRDefault="001A2043" w:rsidP="002F4FF8">
      <w:r>
        <w:t>The Participatory Budget Group will prepare and present an</w:t>
      </w:r>
      <w:r w:rsidR="004323CA">
        <w:t xml:space="preserve"> annual report on audits undertaken and outcomes</w:t>
      </w:r>
    </w:p>
    <w:p w14:paraId="5B0889F8" w14:textId="77777777" w:rsidR="00223DFD" w:rsidRDefault="00223DFD" w:rsidP="00223DFD"/>
    <w:p w14:paraId="6935AD02" w14:textId="1F8F6339" w:rsidR="00223DFD" w:rsidRPr="002E4F32" w:rsidRDefault="00223DFD" w:rsidP="00223DFD">
      <w:pPr>
        <w:pStyle w:val="Heading1"/>
        <w:rPr>
          <w:b w:val="0"/>
        </w:rPr>
      </w:pPr>
      <w:bookmarkStart w:id="6" w:name="_Toc42012192"/>
      <w:r w:rsidRPr="002E4F32">
        <w:t>P</w:t>
      </w:r>
      <w:r w:rsidR="006F6D47">
        <w:t xml:space="preserve">reparing NENA’s </w:t>
      </w:r>
      <w:r w:rsidR="00902837">
        <w:t>Annual Budget</w:t>
      </w:r>
      <w:bookmarkEnd w:id="6"/>
      <w:r w:rsidR="008F3E08">
        <w:t xml:space="preserve"> </w:t>
      </w:r>
    </w:p>
    <w:p w14:paraId="15B4981C" w14:textId="77777777" w:rsidR="008F3E08" w:rsidRDefault="008F3E08" w:rsidP="008F3E08"/>
    <w:p w14:paraId="3CAEC824" w14:textId="63FB6EE9" w:rsidR="007D057A" w:rsidRPr="007D057A" w:rsidRDefault="007D057A" w:rsidP="008F3E08">
      <w:pPr>
        <w:rPr>
          <w:b/>
        </w:rPr>
      </w:pPr>
      <w:r>
        <w:rPr>
          <w:b/>
        </w:rPr>
        <w:t>8.1 Budget overview</w:t>
      </w:r>
    </w:p>
    <w:p w14:paraId="305D2B46" w14:textId="77777777" w:rsidR="00147430" w:rsidRDefault="00CC3D70" w:rsidP="00147430">
      <w:r>
        <w:t xml:space="preserve">NENA’s Annual Budget outlines the financial and operational goals for NENA. It helps NENA to allocate resources, evaluate performance and formulate plans. </w:t>
      </w:r>
      <w:r w:rsidR="00147430">
        <w:t>It aims to support delivery of the NENA Strategic Plan and includes the core NENA operating costs and funding agreed for NENA Hub and Member priority actions and activities.</w:t>
      </w:r>
    </w:p>
    <w:p w14:paraId="4E2157C0" w14:textId="77777777" w:rsidR="00CC3D70" w:rsidRDefault="00CC3D70" w:rsidP="00CC3D70"/>
    <w:p w14:paraId="1C2CE8F3" w14:textId="77777777" w:rsidR="007D057A" w:rsidRDefault="007D057A" w:rsidP="007D057A">
      <w:r>
        <w:t xml:space="preserve">NENA’s Annual Budget refers to the national budget. It does not include individual hub budgets and related processes. </w:t>
      </w:r>
      <w:r>
        <w:rPr>
          <w:noProof/>
          <w:lang w:val="en-US" w:eastAsia="en-US"/>
        </w:rPr>
        <w:t>I</w:t>
      </w:r>
      <w:r>
        <w:t>t is noted that Hubs may have their own strategies and plans that don’t align with, and sit outside of the Collective ones.</w:t>
      </w:r>
    </w:p>
    <w:p w14:paraId="39DD72BE" w14:textId="77777777" w:rsidR="007D057A" w:rsidRDefault="007D057A" w:rsidP="00CC3D70"/>
    <w:p w14:paraId="78DE821E" w14:textId="0F2419B0" w:rsidR="007D057A" w:rsidRPr="007D057A" w:rsidRDefault="007D057A" w:rsidP="00CC3D70">
      <w:pPr>
        <w:rPr>
          <w:b/>
        </w:rPr>
      </w:pPr>
      <w:r w:rsidRPr="007D057A">
        <w:rPr>
          <w:b/>
        </w:rPr>
        <w:t>8.2. Budget process</w:t>
      </w:r>
    </w:p>
    <w:p w14:paraId="6EB35709" w14:textId="787DCB1A" w:rsidR="00147430" w:rsidRDefault="00CC3D70" w:rsidP="00147430">
      <w:r>
        <w:t xml:space="preserve">NENA’s Annual Budget </w:t>
      </w:r>
      <w:r w:rsidR="00147430">
        <w:t>is developed through a participatory framework with the Hubs, progressed with the assistance of the Participatory Budget Group</w:t>
      </w:r>
      <w:r w:rsidR="007D057A">
        <w:t>.</w:t>
      </w:r>
    </w:p>
    <w:p w14:paraId="711EE662" w14:textId="77777777" w:rsidR="00147430" w:rsidRDefault="00147430" w:rsidP="00147430"/>
    <w:p w14:paraId="39600A73" w14:textId="347DA1AA" w:rsidR="00CC3D70" w:rsidRDefault="00CC3D70" w:rsidP="00CC3D70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t>The process is as follows:</w:t>
      </w:r>
    </w:p>
    <w:p w14:paraId="184F0E53" w14:textId="77777777" w:rsidR="00CC3D70" w:rsidRDefault="00CC3D70" w:rsidP="00CC3D70">
      <w:pPr>
        <w:rPr>
          <w:rFonts w:eastAsia="Times New Roman"/>
        </w:rPr>
      </w:pPr>
    </w:p>
    <w:tbl>
      <w:tblPr>
        <w:tblStyle w:val="TableGrid"/>
        <w:tblW w:w="91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3607"/>
        <w:gridCol w:w="3083"/>
      </w:tblGrid>
      <w:tr w:rsidR="00CC3D70" w14:paraId="0D7EB09A" w14:textId="77777777" w:rsidTr="00111074">
        <w:trPr>
          <w:trHeight w:val="591"/>
        </w:trPr>
        <w:tc>
          <w:tcPr>
            <w:tcW w:w="2438" w:type="dxa"/>
            <w:tcBorders>
              <w:bottom w:val="single" w:sz="1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75C1938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>Phase</w:t>
            </w:r>
          </w:p>
        </w:tc>
        <w:tc>
          <w:tcPr>
            <w:tcW w:w="3607" w:type="dxa"/>
            <w:tcBorders>
              <w:bottom w:val="single" w:sz="1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340374F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>Action</w:t>
            </w:r>
          </w:p>
        </w:tc>
        <w:tc>
          <w:tcPr>
            <w:tcW w:w="3083" w:type="dxa"/>
            <w:tcBorders>
              <w:bottom w:val="single" w:sz="12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196B3DC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>Responsible</w:t>
            </w:r>
          </w:p>
        </w:tc>
      </w:tr>
      <w:tr w:rsidR="00CC3D70" w14:paraId="2E70BB45" w14:textId="77777777" w:rsidTr="00111074">
        <w:trPr>
          <w:trHeight w:val="1422"/>
        </w:trPr>
        <w:tc>
          <w:tcPr>
            <w:tcW w:w="243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4A66AC" w:themeFill="accent1"/>
            <w:vAlign w:val="center"/>
          </w:tcPr>
          <w:p w14:paraId="5049C7D5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>Annual Strategic Plan Developed &amp; Approved</w:t>
            </w:r>
          </w:p>
        </w:tc>
        <w:tc>
          <w:tcPr>
            <w:tcW w:w="3607" w:type="dxa"/>
            <w:tcBorders>
              <w:top w:val="single" w:sz="12" w:space="0" w:color="FFFFFF" w:themeColor="background1"/>
              <w:bottom w:val="single" w:sz="12" w:space="0" w:color="4A66AC" w:themeColor="accent1"/>
            </w:tcBorders>
            <w:vAlign w:val="center"/>
          </w:tcPr>
          <w:p w14:paraId="39840B16" w14:textId="77777777" w:rsidR="00CC3D70" w:rsidRDefault="00CC3D70" w:rsidP="005A7745">
            <w:r>
              <w:t>Strategic Plan informs the budget.</w:t>
            </w:r>
          </w:p>
        </w:tc>
        <w:tc>
          <w:tcPr>
            <w:tcW w:w="3083" w:type="dxa"/>
            <w:tcBorders>
              <w:top w:val="single" w:sz="12" w:space="0" w:color="FFFFFF" w:themeColor="background1"/>
              <w:bottom w:val="single" w:sz="12" w:space="0" w:color="4A66AC" w:themeColor="accent1"/>
            </w:tcBorders>
            <w:vAlign w:val="center"/>
          </w:tcPr>
          <w:p w14:paraId="19AA1EEA" w14:textId="77777777" w:rsidR="00CC3D70" w:rsidRDefault="00CC3D70" w:rsidP="005A7745">
            <w:r>
              <w:t>Strategic Directions Group</w:t>
            </w:r>
          </w:p>
        </w:tc>
      </w:tr>
      <w:tr w:rsidR="00CC3D70" w14:paraId="53EF70D3" w14:textId="77777777" w:rsidTr="00111074">
        <w:trPr>
          <w:trHeight w:val="3827"/>
        </w:trPr>
        <w:tc>
          <w:tcPr>
            <w:tcW w:w="243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4A66AC" w:themeFill="accent1"/>
            <w:vAlign w:val="center"/>
          </w:tcPr>
          <w:p w14:paraId="35CD0BC0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</w:p>
          <w:p w14:paraId="16489BBF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 xml:space="preserve">Budget Nominations </w:t>
            </w:r>
          </w:p>
          <w:p w14:paraId="7A8B9D70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607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48757FA4" w14:textId="77777777" w:rsidR="00CC3D70" w:rsidRDefault="00CC3D70" w:rsidP="005A7745">
            <w:r>
              <w:t>Input and nominations sought from Hubs and Members for NENA’s Annual Budget</w:t>
            </w:r>
          </w:p>
          <w:p w14:paraId="5EAE7F1B" w14:textId="472AB48C" w:rsidR="00CC3D70" w:rsidRDefault="00CC3D70" w:rsidP="00CC3D70">
            <w:r>
              <w:t>Th</w:t>
            </w:r>
            <w:r w:rsidR="006641B9">
              <w:t xml:space="preserve">e PBG opens nominations </w:t>
            </w:r>
            <w:r>
              <w:t xml:space="preserve">each year. Nominations are completed using the online form. </w:t>
            </w:r>
          </w:p>
          <w:p w14:paraId="674F286A" w14:textId="77777777" w:rsidR="00CC3D70" w:rsidRDefault="00CC3D70" w:rsidP="00CC3D70"/>
          <w:p w14:paraId="5923D496" w14:textId="594A8D8C" w:rsidR="00CC3D70" w:rsidRDefault="00CC3D70" w:rsidP="005A7745">
            <w:r>
              <w:t xml:space="preserve">To nominate an item for the budget NENA members and hubs must complete the nomination form by the specified date.  </w:t>
            </w:r>
          </w:p>
        </w:tc>
        <w:tc>
          <w:tcPr>
            <w:tcW w:w="3083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4E9F64EB" w14:textId="77777777" w:rsidR="00CC3D70" w:rsidRDefault="00CC3D70" w:rsidP="005A7745">
            <w:r>
              <w:t>Co-ordinated by the Participatory Budget Group</w:t>
            </w:r>
          </w:p>
        </w:tc>
      </w:tr>
      <w:tr w:rsidR="00CC3D70" w14:paraId="4DA10FFA" w14:textId="77777777" w:rsidTr="00111074">
        <w:trPr>
          <w:trHeight w:val="1466"/>
        </w:trPr>
        <w:tc>
          <w:tcPr>
            <w:tcW w:w="243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4A66AC" w:themeFill="accent1"/>
            <w:vAlign w:val="center"/>
          </w:tcPr>
          <w:p w14:paraId="23C8263F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>Review and Assess Budget Nominations</w:t>
            </w:r>
          </w:p>
        </w:tc>
        <w:tc>
          <w:tcPr>
            <w:tcW w:w="3607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506FFF53" w14:textId="61A86A75" w:rsidR="00CC3D70" w:rsidRDefault="00CC3D70" w:rsidP="005A7745">
            <w:r>
              <w:t xml:space="preserve">Collate and assess budget nominations against </w:t>
            </w:r>
            <w:r w:rsidR="00147430">
              <w:t xml:space="preserve">the </w:t>
            </w:r>
            <w:r>
              <w:t>Strategic Plan</w:t>
            </w:r>
            <w:r w:rsidR="00147430">
              <w:t xml:space="preserve"> and other criteria. </w:t>
            </w:r>
          </w:p>
        </w:tc>
        <w:tc>
          <w:tcPr>
            <w:tcW w:w="3083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73A2F515" w14:textId="77777777" w:rsidR="00CC3D70" w:rsidRDefault="00CC3D70" w:rsidP="005A7745">
            <w:r>
              <w:t>Participatory Budget Group</w:t>
            </w:r>
          </w:p>
        </w:tc>
      </w:tr>
      <w:tr w:rsidR="00CC3D70" w14:paraId="094BF20D" w14:textId="77777777" w:rsidTr="00111074">
        <w:trPr>
          <w:trHeight w:val="2933"/>
        </w:trPr>
        <w:tc>
          <w:tcPr>
            <w:tcW w:w="243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4A66AC" w:themeFill="accent1"/>
            <w:vAlign w:val="center"/>
          </w:tcPr>
          <w:p w14:paraId="36EED2A5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>Determine Priorities</w:t>
            </w:r>
          </w:p>
        </w:tc>
        <w:tc>
          <w:tcPr>
            <w:tcW w:w="3607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0313E235" w14:textId="77777777" w:rsidR="00CC3D70" w:rsidRPr="00111074" w:rsidRDefault="00CC3D70" w:rsidP="005A7745">
            <w:pPr>
              <w:rPr>
                <w:highlight w:val="yellow"/>
              </w:rPr>
            </w:pPr>
            <w:r w:rsidRPr="00111074">
              <w:rPr>
                <w:highlight w:val="yellow"/>
              </w:rPr>
              <w:t>Option A: PBG determine priorities</w:t>
            </w:r>
          </w:p>
          <w:p w14:paraId="2CD9ABB3" w14:textId="77777777" w:rsidR="00CC3D70" w:rsidRPr="00111074" w:rsidRDefault="00CC3D70" w:rsidP="005A7745">
            <w:pPr>
              <w:rPr>
                <w:highlight w:val="yellow"/>
              </w:rPr>
            </w:pPr>
            <w:r w:rsidRPr="00111074">
              <w:rPr>
                <w:highlight w:val="yellow"/>
              </w:rPr>
              <w:t>Option B: PBG determine priorities then refine based on Hub and member feedback</w:t>
            </w:r>
          </w:p>
          <w:p w14:paraId="359CBE75" w14:textId="77777777" w:rsidR="00CC3D70" w:rsidRDefault="00CC3D70" w:rsidP="005A7745">
            <w:r w:rsidRPr="00111074">
              <w:rPr>
                <w:highlight w:val="yellow"/>
              </w:rPr>
              <w:t>Option C: Members &amp; Hubs determine priorities through participatory process</w:t>
            </w:r>
            <w:bookmarkStart w:id="7" w:name="_GoBack"/>
            <w:bookmarkEnd w:id="7"/>
          </w:p>
        </w:tc>
        <w:tc>
          <w:tcPr>
            <w:tcW w:w="3083" w:type="dxa"/>
            <w:tcBorders>
              <w:top w:val="single" w:sz="12" w:space="0" w:color="4A66AC" w:themeColor="accent1"/>
            </w:tcBorders>
            <w:vAlign w:val="center"/>
          </w:tcPr>
          <w:p w14:paraId="59436379" w14:textId="77777777" w:rsidR="00CC3D70" w:rsidRDefault="00CC3D70" w:rsidP="005A7745">
            <w:r>
              <w:t>Co-ordinated by the Participatory Budget Group</w:t>
            </w:r>
          </w:p>
        </w:tc>
      </w:tr>
      <w:tr w:rsidR="00CC3D70" w14:paraId="633D318E" w14:textId="77777777" w:rsidTr="00111074">
        <w:trPr>
          <w:trHeight w:val="1207"/>
        </w:trPr>
        <w:tc>
          <w:tcPr>
            <w:tcW w:w="243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4A66AC" w:themeFill="accent1"/>
            <w:vAlign w:val="center"/>
          </w:tcPr>
          <w:p w14:paraId="41918F13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>Prepare NENA Budget for approval</w:t>
            </w:r>
          </w:p>
        </w:tc>
        <w:tc>
          <w:tcPr>
            <w:tcW w:w="3607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082AA825" w14:textId="77777777" w:rsidR="00CC3D70" w:rsidRDefault="00CC3D70" w:rsidP="005A7745">
            <w:r>
              <w:t xml:space="preserve">Prepare budget and papers for Board </w:t>
            </w:r>
          </w:p>
        </w:tc>
        <w:tc>
          <w:tcPr>
            <w:tcW w:w="3083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6781378E" w14:textId="77777777" w:rsidR="00CC3D70" w:rsidRDefault="00CC3D70" w:rsidP="005A7745">
            <w:r>
              <w:t>Participatory Budget Group</w:t>
            </w:r>
          </w:p>
        </w:tc>
      </w:tr>
      <w:tr w:rsidR="00CC3D70" w14:paraId="04F59CBF" w14:textId="77777777" w:rsidTr="00111074">
        <w:trPr>
          <w:trHeight w:val="1066"/>
        </w:trPr>
        <w:tc>
          <w:tcPr>
            <w:tcW w:w="2438" w:type="dxa"/>
            <w:tcBorders>
              <w:top w:val="single" w:sz="12" w:space="0" w:color="FFFFFF" w:themeColor="background1"/>
              <w:bottom w:val="single" w:sz="12" w:space="0" w:color="4A66AC" w:themeColor="accent1"/>
            </w:tcBorders>
            <w:shd w:val="clear" w:color="auto" w:fill="4A66AC" w:themeFill="accent1"/>
            <w:vAlign w:val="center"/>
          </w:tcPr>
          <w:p w14:paraId="3DA2EECD" w14:textId="77777777" w:rsidR="00CC3D70" w:rsidRPr="00111074" w:rsidRDefault="00CC3D70" w:rsidP="005A7745">
            <w:pPr>
              <w:jc w:val="center"/>
              <w:rPr>
                <w:color w:val="FFFFFF" w:themeColor="background1"/>
              </w:rPr>
            </w:pPr>
            <w:r w:rsidRPr="00111074">
              <w:rPr>
                <w:color w:val="FFFFFF" w:themeColor="background1"/>
              </w:rPr>
              <w:t>Approve NENA Budget</w:t>
            </w:r>
          </w:p>
        </w:tc>
        <w:tc>
          <w:tcPr>
            <w:tcW w:w="3607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2EAFFCA0" w14:textId="77777777" w:rsidR="00CC3D70" w:rsidRDefault="00CC3D70" w:rsidP="005A7745">
            <w:r>
              <w:t xml:space="preserve">Approve Budget </w:t>
            </w:r>
          </w:p>
        </w:tc>
        <w:tc>
          <w:tcPr>
            <w:tcW w:w="3083" w:type="dxa"/>
            <w:tcBorders>
              <w:top w:val="single" w:sz="12" w:space="0" w:color="4A66AC" w:themeColor="accent1"/>
              <w:bottom w:val="single" w:sz="12" w:space="0" w:color="4A66AC" w:themeColor="accent1"/>
            </w:tcBorders>
            <w:vAlign w:val="center"/>
          </w:tcPr>
          <w:p w14:paraId="307B4AE9" w14:textId="77777777" w:rsidR="00CC3D70" w:rsidRDefault="00CC3D70" w:rsidP="005A7745">
            <w:r>
              <w:t>NENA Board</w:t>
            </w:r>
          </w:p>
        </w:tc>
      </w:tr>
    </w:tbl>
    <w:p w14:paraId="383B8434" w14:textId="77777777" w:rsidR="00CC3D70" w:rsidRDefault="00CC3D70" w:rsidP="00CC3D70">
      <w:pPr>
        <w:rPr>
          <w:rFonts w:eastAsia="Times New Roman"/>
        </w:rPr>
      </w:pPr>
    </w:p>
    <w:p w14:paraId="18B8DF52" w14:textId="77777777" w:rsidR="00CC3D70" w:rsidRDefault="00CC3D70" w:rsidP="00CC3D70">
      <w:pPr>
        <w:rPr>
          <w:rFonts w:eastAsia="Times New Roman"/>
        </w:rPr>
      </w:pPr>
    </w:p>
    <w:p w14:paraId="021F480C" w14:textId="5CBA823A" w:rsidR="007D057A" w:rsidRPr="007D057A" w:rsidRDefault="007D057A" w:rsidP="00CC3D70">
      <w:pPr>
        <w:rPr>
          <w:rFonts w:eastAsia="Times New Roman"/>
          <w:b/>
        </w:rPr>
      </w:pPr>
      <w:r w:rsidRPr="007D057A">
        <w:rPr>
          <w:rFonts w:eastAsia="Times New Roman"/>
          <w:b/>
        </w:rPr>
        <w:t>8.3 Budget items</w:t>
      </w:r>
    </w:p>
    <w:p w14:paraId="50C9599F" w14:textId="511E11FE" w:rsidR="00D20E48" w:rsidRDefault="00910396" w:rsidP="00223DFD">
      <w:r>
        <w:t>In the likelihood that</w:t>
      </w:r>
      <w:r w:rsidR="00773E38">
        <w:t xml:space="preserve"> </w:t>
      </w:r>
      <w:r w:rsidR="00982394">
        <w:t>in</w:t>
      </w:r>
      <w:r w:rsidR="00773E38">
        <w:t xml:space="preserve">sufficient funds </w:t>
      </w:r>
      <w:r w:rsidR="00982394">
        <w:t xml:space="preserve">are </w:t>
      </w:r>
      <w:r w:rsidR="00773E38">
        <w:t>available for all prioritised events/activities, Members and Hubs and the Participatory Budget Group</w:t>
      </w:r>
      <w:r w:rsidR="00D20E48">
        <w:t xml:space="preserve"> </w:t>
      </w:r>
      <w:r w:rsidR="00773E38">
        <w:t>will</w:t>
      </w:r>
      <w:r>
        <w:t xml:space="preserve"> </w:t>
      </w:r>
      <w:r w:rsidR="006F6D47">
        <w:t>classif</w:t>
      </w:r>
      <w:r w:rsidR="00773E38">
        <w:t>y</w:t>
      </w:r>
      <w:r w:rsidR="006F6D47">
        <w:t xml:space="preserve"> items into:</w:t>
      </w:r>
    </w:p>
    <w:p w14:paraId="397D6D98" w14:textId="77777777" w:rsidR="006F6D47" w:rsidRDefault="006F6D47" w:rsidP="00223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5581"/>
      </w:tblGrid>
      <w:tr w:rsidR="006F6D47" w14:paraId="21AD3350" w14:textId="77777777" w:rsidTr="006F6D47">
        <w:tc>
          <w:tcPr>
            <w:tcW w:w="3429" w:type="dxa"/>
          </w:tcPr>
          <w:p w14:paraId="047CE3A6" w14:textId="2FEFAF8A" w:rsidR="006F6D47" w:rsidRPr="006F6D47" w:rsidRDefault="006F6D47" w:rsidP="00223DFD">
            <w:pPr>
              <w:rPr>
                <w:b/>
              </w:rPr>
            </w:pPr>
            <w:r w:rsidRPr="006F6D47">
              <w:rPr>
                <w:b/>
              </w:rPr>
              <w:t>Budget classification</w:t>
            </w:r>
          </w:p>
        </w:tc>
        <w:tc>
          <w:tcPr>
            <w:tcW w:w="5581" w:type="dxa"/>
          </w:tcPr>
          <w:p w14:paraId="463606BC" w14:textId="192E13A2" w:rsidR="006F6D47" w:rsidRPr="006F6D47" w:rsidRDefault="006F6D47" w:rsidP="00223DFD">
            <w:pPr>
              <w:rPr>
                <w:b/>
              </w:rPr>
            </w:pPr>
            <w:r w:rsidRPr="006F6D47">
              <w:rPr>
                <w:b/>
              </w:rPr>
              <w:t>Budget action</w:t>
            </w:r>
          </w:p>
        </w:tc>
      </w:tr>
      <w:tr w:rsidR="006F6D47" w14:paraId="47DC260E" w14:textId="77777777" w:rsidTr="006F6D47">
        <w:tc>
          <w:tcPr>
            <w:tcW w:w="3429" w:type="dxa"/>
          </w:tcPr>
          <w:p w14:paraId="0C9655D0" w14:textId="1AB72D66" w:rsidR="006F6D47" w:rsidRDefault="00147430" w:rsidP="00223DFD">
            <w:r>
              <w:t>Approved</w:t>
            </w:r>
          </w:p>
        </w:tc>
        <w:tc>
          <w:tcPr>
            <w:tcW w:w="5581" w:type="dxa"/>
          </w:tcPr>
          <w:p w14:paraId="7E66C68E" w14:textId="40F02138" w:rsidR="006F6D47" w:rsidRDefault="006F6D47" w:rsidP="006F6D47">
            <w:r>
              <w:t xml:space="preserve">Budget approved and payment approved. Within the predicted revenue stream. Additional approval from the Board not required. Regular payment plans can be established. </w:t>
            </w:r>
          </w:p>
        </w:tc>
      </w:tr>
      <w:tr w:rsidR="006F6D47" w14:paraId="4EAAB7DB" w14:textId="77777777" w:rsidTr="006F6D47">
        <w:trPr>
          <w:trHeight w:val="255"/>
        </w:trPr>
        <w:tc>
          <w:tcPr>
            <w:tcW w:w="3429" w:type="dxa"/>
          </w:tcPr>
          <w:p w14:paraId="63ACB349" w14:textId="56BA0920" w:rsidR="006F6D47" w:rsidRDefault="00147430" w:rsidP="00223DFD">
            <w:r>
              <w:t xml:space="preserve">Approved pending available funds. </w:t>
            </w:r>
          </w:p>
        </w:tc>
        <w:tc>
          <w:tcPr>
            <w:tcW w:w="5581" w:type="dxa"/>
          </w:tcPr>
          <w:p w14:paraId="7366ED4E" w14:textId="66A14536" w:rsidR="006F6D47" w:rsidRDefault="006F6D47" w:rsidP="007D057A">
            <w:r>
              <w:t xml:space="preserve">Recognised as legitimate budget item. If funds are available </w:t>
            </w:r>
            <w:r w:rsidR="007D057A">
              <w:t xml:space="preserve">these items will be approved as per priority determination. </w:t>
            </w:r>
            <w:r>
              <w:t xml:space="preserve"> </w:t>
            </w:r>
          </w:p>
        </w:tc>
      </w:tr>
      <w:tr w:rsidR="00147430" w14:paraId="71D3201D" w14:textId="77777777" w:rsidTr="006F6D47">
        <w:trPr>
          <w:trHeight w:val="255"/>
        </w:trPr>
        <w:tc>
          <w:tcPr>
            <w:tcW w:w="3429" w:type="dxa"/>
          </w:tcPr>
          <w:p w14:paraId="3487F18E" w14:textId="4B83DFDC" w:rsidR="00147430" w:rsidRPr="00AD3411" w:rsidRDefault="00147430" w:rsidP="00223DFD">
            <w:r>
              <w:t>Not approved</w:t>
            </w:r>
          </w:p>
        </w:tc>
        <w:tc>
          <w:tcPr>
            <w:tcW w:w="5581" w:type="dxa"/>
          </w:tcPr>
          <w:p w14:paraId="5E4AACC6" w14:textId="7D9BE4B4" w:rsidR="00147430" w:rsidRDefault="007D057A" w:rsidP="00223DFD">
            <w:r>
              <w:t>Not approved for annual budget.</w:t>
            </w:r>
            <w:r w:rsidR="00147430">
              <w:t xml:space="preserve"> </w:t>
            </w:r>
          </w:p>
        </w:tc>
      </w:tr>
    </w:tbl>
    <w:p w14:paraId="1BE23351" w14:textId="77777777" w:rsidR="006F6D47" w:rsidRDefault="006F6D47" w:rsidP="00223DFD"/>
    <w:p w14:paraId="2C9B73A9" w14:textId="7F2F31C6" w:rsidR="007D057A" w:rsidRPr="007D057A" w:rsidRDefault="007D057A" w:rsidP="00902837">
      <w:pPr>
        <w:rPr>
          <w:b/>
        </w:rPr>
      </w:pPr>
      <w:r w:rsidRPr="007D057A">
        <w:rPr>
          <w:b/>
        </w:rPr>
        <w:t>8.4. Requesting monies outside of the budget process</w:t>
      </w:r>
    </w:p>
    <w:p w14:paraId="6116272E" w14:textId="41031C65" w:rsidR="007D057A" w:rsidRDefault="007D057A" w:rsidP="007D057A">
      <w:r>
        <w:t>NENA members &amp; Hubs can request funds outside of the Hub nomination process by completing and submitting the online ‘Extraordinary Fund Request Form’ to the Participatory Budget Group</w:t>
      </w:r>
      <w:r>
        <w:t xml:space="preserve">. </w:t>
      </w:r>
      <w:r>
        <w:t>The PBG will review the request an</w:t>
      </w:r>
      <w:r>
        <w:t xml:space="preserve">d decide whether to approve, approve pending funds or not approve. </w:t>
      </w:r>
    </w:p>
    <w:p w14:paraId="78B41384" w14:textId="77777777" w:rsidR="00BE48C4" w:rsidRDefault="00BE48C4" w:rsidP="00902837"/>
    <w:p w14:paraId="649E95AC" w14:textId="77777777" w:rsidR="007D057A" w:rsidRDefault="007D057A" w:rsidP="00902837"/>
    <w:p w14:paraId="48F4B7E6" w14:textId="3C310924" w:rsidR="00147430" w:rsidRDefault="007D057A" w:rsidP="008378FF">
      <w:pPr>
        <w:pStyle w:val="Heading1"/>
      </w:pPr>
      <w:bookmarkStart w:id="8" w:name="_Toc42012193"/>
      <w:r>
        <w:t>Holding and distributing monies</w:t>
      </w:r>
      <w:bookmarkEnd w:id="8"/>
      <w:r>
        <w:t xml:space="preserve"> </w:t>
      </w:r>
    </w:p>
    <w:p w14:paraId="0F11F063" w14:textId="77777777" w:rsidR="00147430" w:rsidRDefault="00147430" w:rsidP="00147430"/>
    <w:p w14:paraId="3726AB94" w14:textId="6DB8D273" w:rsidR="007D057A" w:rsidRDefault="007D057A" w:rsidP="00147430">
      <w:r>
        <w:t>NENA funds are held in the NENA Bank Account.</w:t>
      </w:r>
    </w:p>
    <w:p w14:paraId="5E3B45DF" w14:textId="6C706F30" w:rsidR="007D057A" w:rsidRDefault="007D057A" w:rsidP="00147430">
      <w:r>
        <w:t>XXXX</w:t>
      </w:r>
    </w:p>
    <w:p w14:paraId="5C145D9C" w14:textId="77777777" w:rsidR="007D057A" w:rsidRDefault="007D057A" w:rsidP="00147430"/>
    <w:p w14:paraId="5D9FDAEF" w14:textId="144766B4" w:rsidR="007D057A" w:rsidRDefault="007D057A" w:rsidP="007D057A">
      <w:r w:rsidRPr="006573A7">
        <w:rPr>
          <w:highlight w:val="yellow"/>
        </w:rPr>
        <w:t xml:space="preserve">Method for holding and distributing </w:t>
      </w:r>
      <w:r>
        <w:rPr>
          <w:highlight w:val="yellow"/>
        </w:rPr>
        <w:t xml:space="preserve">HUB monies </w:t>
      </w:r>
      <w:r w:rsidRPr="006573A7">
        <w:rPr>
          <w:highlight w:val="yellow"/>
        </w:rPr>
        <w:t>TBC pending Open Collective trial.</w:t>
      </w:r>
    </w:p>
    <w:p w14:paraId="358F60C4" w14:textId="77777777" w:rsidR="007D057A" w:rsidRPr="00147430" w:rsidRDefault="007D057A" w:rsidP="00147430"/>
    <w:p w14:paraId="22D0B558" w14:textId="77777777" w:rsidR="00223DFD" w:rsidRDefault="00223DFD" w:rsidP="00223DFD"/>
    <w:p w14:paraId="4279F24B" w14:textId="3B2490E7" w:rsidR="00223DFD" w:rsidRPr="002E4F32" w:rsidRDefault="005E5826" w:rsidP="00223DFD">
      <w:pPr>
        <w:pStyle w:val="Heading1"/>
        <w:rPr>
          <w:b w:val="0"/>
        </w:rPr>
      </w:pPr>
      <w:bookmarkStart w:id="9" w:name="_Toc42012194"/>
      <w:r>
        <w:t>Disputes relating to PB matters</w:t>
      </w:r>
      <w:bookmarkEnd w:id="9"/>
    </w:p>
    <w:p w14:paraId="3BC9A98A" w14:textId="77777777" w:rsidR="00223DFD" w:rsidRDefault="00223DFD" w:rsidP="00223DFD"/>
    <w:p w14:paraId="6ED06A41" w14:textId="3A995A75" w:rsidR="002E4F32" w:rsidRPr="005E5826" w:rsidRDefault="002E4F32" w:rsidP="002E4F32">
      <w:pPr>
        <w:rPr>
          <w:i/>
        </w:rPr>
      </w:pPr>
      <w:r>
        <w:t>Disputes</w:t>
      </w:r>
      <w:r w:rsidR="005E5826">
        <w:t xml:space="preserve"> relating to P</w:t>
      </w:r>
      <w:r w:rsidR="00C60EDA">
        <w:t xml:space="preserve">articipatory Budget </w:t>
      </w:r>
      <w:r w:rsidR="007D057A">
        <w:t xml:space="preserve">Process and/or </w:t>
      </w:r>
      <w:proofErr w:type="gramStart"/>
      <w:r w:rsidR="00C60EDA">
        <w:t xml:space="preserve">Group  </w:t>
      </w:r>
      <w:r w:rsidR="005E5826">
        <w:t>will</w:t>
      </w:r>
      <w:proofErr w:type="gramEnd"/>
      <w:r w:rsidR="005E5826">
        <w:t xml:space="preserve"> be managed in accordance with </w:t>
      </w:r>
      <w:r w:rsidR="005E5826">
        <w:rPr>
          <w:i/>
        </w:rPr>
        <w:t>The NENA Constitution</w:t>
      </w:r>
      <w:r>
        <w:t xml:space="preserve"> </w:t>
      </w:r>
      <w:r w:rsidRPr="005E5826">
        <w:rPr>
          <w:i/>
        </w:rPr>
        <w:t>Rule 2.8 Dispute Resolution</w:t>
      </w:r>
      <w:r w:rsidR="005E5826">
        <w:t>.</w:t>
      </w:r>
      <w:r w:rsidRPr="005E5826">
        <w:rPr>
          <w:i/>
        </w:rPr>
        <w:t xml:space="preserve"> </w:t>
      </w:r>
    </w:p>
    <w:p w14:paraId="7700A53F" w14:textId="77777777" w:rsidR="002E4F32" w:rsidRDefault="002E4F32" w:rsidP="00223DFD"/>
    <w:p w14:paraId="5FB2BDC3" w14:textId="162A1EF9" w:rsidR="008F310E" w:rsidRDefault="008F310E" w:rsidP="008F310E">
      <w:r>
        <w:t>All efforts will be made to maintain peaceful and stable working relationships among members</w:t>
      </w:r>
      <w:r w:rsidR="00C60EDA">
        <w:t xml:space="preserve"> and Hubs</w:t>
      </w:r>
      <w:r>
        <w:t xml:space="preserve">, but where conflict arises, the </w:t>
      </w:r>
      <w:hyperlink r:id="rId13" w:history="1">
        <w:r w:rsidRPr="00B13CD5">
          <w:rPr>
            <w:rStyle w:val="Hyperlink"/>
          </w:rPr>
          <w:t>Code of Conduct</w:t>
        </w:r>
      </w:hyperlink>
      <w:r>
        <w:t xml:space="preserve"> and </w:t>
      </w:r>
      <w:hyperlink r:id="rId14" w:history="1">
        <w:r w:rsidRPr="00B13CD5">
          <w:rPr>
            <w:rStyle w:val="Hyperlink"/>
          </w:rPr>
          <w:t>Constitution</w:t>
        </w:r>
      </w:hyperlink>
      <w:r>
        <w:t xml:space="preserve"> will assist with conflict resolution.</w:t>
      </w:r>
    </w:p>
    <w:p w14:paraId="337662A2" w14:textId="77777777" w:rsidR="008F310E" w:rsidRDefault="008F310E" w:rsidP="00223DFD"/>
    <w:p w14:paraId="03C458D8" w14:textId="77777777" w:rsidR="00D968C7" w:rsidRDefault="00D968C7" w:rsidP="00223DFD"/>
    <w:p w14:paraId="3DAE2F00" w14:textId="77777777" w:rsidR="00D968C7" w:rsidRDefault="00D968C7" w:rsidP="00223DFD">
      <w:pPr>
        <w:sectPr w:rsidR="00D968C7" w:rsidSect="00223DFD">
          <w:pgSz w:w="11900" w:h="16840"/>
          <w:pgMar w:top="1440" w:right="1440" w:bottom="1440" w:left="1440" w:header="708" w:footer="708" w:gutter="0"/>
          <w:cols w:space="708"/>
          <w:titlePg/>
          <w:docGrid w:linePitch="400"/>
        </w:sectPr>
      </w:pPr>
    </w:p>
    <w:p w14:paraId="1E90F977" w14:textId="5E4DEC63" w:rsidR="00D968C7" w:rsidRDefault="00D968C7" w:rsidP="00D968C7">
      <w:pPr>
        <w:pStyle w:val="Heading1"/>
        <w:numPr>
          <w:ilvl w:val="0"/>
          <w:numId w:val="0"/>
        </w:numPr>
        <w:ind w:left="360" w:hanging="360"/>
      </w:pPr>
      <w:bookmarkStart w:id="10" w:name="_Toc42012195"/>
      <w:r>
        <w:t>APPENDIX A</w:t>
      </w:r>
      <w:bookmarkEnd w:id="10"/>
    </w:p>
    <w:p w14:paraId="6E72868D" w14:textId="77777777" w:rsidR="00D968C7" w:rsidRDefault="00D968C7" w:rsidP="00D968C7"/>
    <w:p w14:paraId="3AA0C157" w14:textId="77777777" w:rsidR="00D968C7" w:rsidRDefault="00D968C7" w:rsidP="00D968C7"/>
    <w:p w14:paraId="012069A7" w14:textId="19ADE3A4" w:rsidR="00D968C7" w:rsidRDefault="00D968C7" w:rsidP="00D968C7">
      <w:pPr>
        <w:spacing w:before="40" w:after="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0F480" wp14:editId="42D5EF8C">
                <wp:simplePos x="0" y="0"/>
                <wp:positionH relativeFrom="column">
                  <wp:posOffset>-4445</wp:posOffset>
                </wp:positionH>
                <wp:positionV relativeFrom="paragraph">
                  <wp:posOffset>124460</wp:posOffset>
                </wp:positionV>
                <wp:extent cx="5490845" cy="457200"/>
                <wp:effectExtent l="0" t="0" r="20955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0A898" w14:textId="7D5CC70D" w:rsidR="009A25BD" w:rsidRPr="00D6623D" w:rsidRDefault="009A25BD" w:rsidP="00D968C7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</w:rPr>
                            </w:pPr>
                            <w:bookmarkStart w:id="11" w:name="_Toc42012196"/>
                            <w:r w:rsidRPr="00D6623D">
                              <w:rPr>
                                <w:color w:val="FFFFFF"/>
                              </w:rPr>
                              <w:t xml:space="preserve">Fundraising </w:t>
                            </w:r>
                            <w:r>
                              <w:rPr>
                                <w:color w:val="FFFFFF"/>
                              </w:rPr>
                              <w:t>Standards</w:t>
                            </w:r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F48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.35pt;margin-top:9.8pt;width:43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" fillcolor="#629dd1 [3205]" strokecolor="#224e76 [1605]" strokeweight="1pt">
                <v:textbox>
                  <w:txbxContent>
                    <w:p w14:paraId="3260A898" w14:textId="7D5CC70D" w:rsidR="009A25BD" w:rsidRPr="00D6623D" w:rsidRDefault="009A25BD" w:rsidP="00D968C7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</w:rPr>
                      </w:pPr>
                      <w:bookmarkStart w:id="12" w:name="_Toc42012196"/>
                      <w:r w:rsidRPr="00D6623D">
                        <w:rPr>
                          <w:color w:val="FFFFFF"/>
                        </w:rPr>
                        <w:t xml:space="preserve">Fundraising </w:t>
                      </w:r>
                      <w:r>
                        <w:rPr>
                          <w:color w:val="FFFFFF"/>
                        </w:rPr>
                        <w:t>Standards</w:t>
                      </w:r>
                      <w:bookmarkEnd w:id="1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236FD" w14:textId="77777777" w:rsidR="00D968C7" w:rsidRDefault="00D968C7" w:rsidP="00D968C7">
      <w:pPr>
        <w:spacing w:before="40" w:after="40"/>
        <w:rPr>
          <w:sz w:val="16"/>
          <w:szCs w:val="16"/>
        </w:rPr>
      </w:pPr>
    </w:p>
    <w:p w14:paraId="05246BA5" w14:textId="77777777" w:rsidR="00D968C7" w:rsidRPr="00AE4258" w:rsidRDefault="00D968C7" w:rsidP="00D968C7">
      <w:pPr>
        <w:pStyle w:val="Heading2"/>
      </w:pPr>
      <w:bookmarkStart w:id="13" w:name="_Toc42012197"/>
      <w:r w:rsidRPr="00AE4258">
        <w:t>Introduction</w:t>
      </w:r>
      <w:bookmarkEnd w:id="13"/>
    </w:p>
    <w:p w14:paraId="61424359" w14:textId="456765B2" w:rsidR="00D968C7" w:rsidRDefault="00D968C7" w:rsidP="00D968C7">
      <w:r w:rsidRPr="0052163B">
        <w:t xml:space="preserve">The </w:t>
      </w:r>
      <w:r w:rsidR="00DF1C09">
        <w:t xml:space="preserve">NENA </w:t>
      </w:r>
      <w:r w:rsidRPr="0052163B">
        <w:t xml:space="preserve">Board </w:t>
      </w:r>
      <w:r w:rsidR="00DF1C09">
        <w:t>Hubs and Members</w:t>
      </w:r>
      <w:r>
        <w:t xml:space="preserve"> </w:t>
      </w:r>
      <w:r w:rsidR="00DF1C09">
        <w:t>are</w:t>
      </w:r>
      <w:r w:rsidRPr="0052163B">
        <w:t xml:space="preserve"> committed to </w:t>
      </w:r>
      <w:r>
        <w:t>ensuring that</w:t>
      </w:r>
      <w:r w:rsidR="00DF1C09">
        <w:t xml:space="preserve"> funds are ethically sourced and</w:t>
      </w:r>
      <w:r>
        <w:t xml:space="preserve"> fundraising activities are carried out in an ethical manner. </w:t>
      </w:r>
    </w:p>
    <w:p w14:paraId="20DA7F1E" w14:textId="77777777" w:rsidR="00D968C7" w:rsidRPr="0052163B" w:rsidRDefault="00D968C7" w:rsidP="00D968C7"/>
    <w:p w14:paraId="794B6927" w14:textId="77777777" w:rsidR="00D968C7" w:rsidRPr="00AE4258" w:rsidRDefault="00D968C7" w:rsidP="00D968C7">
      <w:pPr>
        <w:pStyle w:val="Heading2"/>
      </w:pPr>
      <w:bookmarkStart w:id="14" w:name="_Toc42012198"/>
      <w:r w:rsidRPr="00AE4258">
        <w:t>Purpose</w:t>
      </w:r>
      <w:bookmarkEnd w:id="14"/>
    </w:p>
    <w:p w14:paraId="5D0DF367" w14:textId="0386F3E7" w:rsidR="00D968C7" w:rsidRDefault="00D968C7" w:rsidP="00D968C7">
      <w:r w:rsidRPr="0052163B">
        <w:t xml:space="preserve">The purpose of this document is to identify </w:t>
      </w:r>
      <w:r w:rsidR="00DA0F45">
        <w:rPr>
          <w:color w:val="808080"/>
        </w:rPr>
        <w:t>NENA</w:t>
      </w:r>
      <w:r>
        <w:t xml:space="preserve">’s </w:t>
      </w:r>
      <w:r w:rsidRPr="0052163B">
        <w:t xml:space="preserve">position on fundraising practice and to document the standards expected in raising funds from the community. </w:t>
      </w:r>
    </w:p>
    <w:p w14:paraId="7B3FA888" w14:textId="77777777" w:rsidR="00D968C7" w:rsidRPr="0052163B" w:rsidRDefault="00D968C7" w:rsidP="00D968C7"/>
    <w:p w14:paraId="54315BBF" w14:textId="6B47A1AF" w:rsidR="00D968C7" w:rsidRPr="00AE4258" w:rsidRDefault="00DA0F45" w:rsidP="00D968C7">
      <w:pPr>
        <w:pStyle w:val="Heading2"/>
      </w:pPr>
      <w:bookmarkStart w:id="15" w:name="_Toc42012199"/>
      <w:r>
        <w:t>Standards</w:t>
      </w:r>
      <w:bookmarkEnd w:id="15"/>
    </w:p>
    <w:p w14:paraId="04998F6C" w14:textId="492C1D67" w:rsidR="00D968C7" w:rsidRPr="0052163B" w:rsidRDefault="00DA0F45" w:rsidP="00D968C7">
      <w:r>
        <w:rPr>
          <w:color w:val="808080"/>
        </w:rPr>
        <w:t>NENA’s</w:t>
      </w:r>
      <w:r w:rsidR="00D968C7">
        <w:rPr>
          <w:rFonts w:cs="Arial"/>
        </w:rPr>
        <w:t xml:space="preserve"> </w:t>
      </w:r>
      <w:r w:rsidR="00D968C7" w:rsidRPr="0052163B">
        <w:t>guiding fundraising principle is a simple one – we will only use techniques that we would be happy to be used on ourselves.</w:t>
      </w:r>
    </w:p>
    <w:p w14:paraId="121FDE54" w14:textId="77777777" w:rsidR="00D968C7" w:rsidRPr="0052163B" w:rsidRDefault="00D968C7" w:rsidP="00D968C7">
      <w:r>
        <w:t xml:space="preserve">In doing so, the organisation will </w:t>
      </w:r>
      <w:r w:rsidRPr="0052163B">
        <w:t>adhere to the following standards:</w:t>
      </w:r>
    </w:p>
    <w:p w14:paraId="6BA109EA" w14:textId="3C70D16F" w:rsidR="00D968C7" w:rsidRDefault="00D968C7" w:rsidP="00D968C7">
      <w:pPr>
        <w:numPr>
          <w:ilvl w:val="0"/>
          <w:numId w:val="14"/>
        </w:numPr>
        <w:spacing w:before="60" w:after="120"/>
        <w:contextualSpacing/>
      </w:pPr>
      <w:r>
        <w:t xml:space="preserve">Fundraising activities carried out by </w:t>
      </w:r>
      <w:r w:rsidR="00DA0F45">
        <w:rPr>
          <w:color w:val="808080"/>
        </w:rPr>
        <w:t>NENA</w:t>
      </w:r>
      <w:r>
        <w:t xml:space="preserve"> will comply with all relevant laws.</w:t>
      </w:r>
    </w:p>
    <w:p w14:paraId="1C064833" w14:textId="77777777" w:rsidR="00D968C7" w:rsidRDefault="00D968C7" w:rsidP="00D968C7">
      <w:pPr>
        <w:numPr>
          <w:ilvl w:val="0"/>
          <w:numId w:val="14"/>
        </w:numPr>
        <w:spacing w:before="60" w:after="120"/>
        <w:contextualSpacing/>
      </w:pPr>
      <w:r>
        <w:t>Any communications to the public made in the course of carrying out a fundraising activity shall be truthful and non-</w:t>
      </w:r>
      <w:r w:rsidRPr="0052163B">
        <w:t>deceptive.</w:t>
      </w:r>
    </w:p>
    <w:p w14:paraId="380C9F79" w14:textId="77777777" w:rsidR="00D968C7" w:rsidRDefault="00D968C7" w:rsidP="00D968C7">
      <w:pPr>
        <w:numPr>
          <w:ilvl w:val="0"/>
          <w:numId w:val="14"/>
        </w:numPr>
        <w:spacing w:before="60" w:after="120"/>
        <w:contextualSpacing/>
      </w:pPr>
      <w:r w:rsidRPr="003113FF">
        <w:t>All monies raised via fundraising activities will be for the stated purpose of the appeal and will comply with the organisation’s stated mission and purpose.</w:t>
      </w:r>
    </w:p>
    <w:p w14:paraId="574EC1B8" w14:textId="01DBCFE7" w:rsidR="00D968C7" w:rsidRPr="003113FF" w:rsidRDefault="00D968C7" w:rsidP="00D968C7">
      <w:pPr>
        <w:numPr>
          <w:ilvl w:val="0"/>
          <w:numId w:val="14"/>
        </w:numPr>
        <w:spacing w:before="60" w:after="120"/>
        <w:contextualSpacing/>
      </w:pPr>
      <w:r w:rsidRPr="003113FF">
        <w:t xml:space="preserve">All personal information collected by </w:t>
      </w:r>
      <w:r w:rsidR="00DA0F45">
        <w:rPr>
          <w:color w:val="808080"/>
        </w:rPr>
        <w:t>NENA</w:t>
      </w:r>
      <w:r>
        <w:t xml:space="preserve"> </w:t>
      </w:r>
      <w:r w:rsidRPr="003113FF">
        <w:t>is confidential and is not for sale or to be given away or disclosed to any third party without consent.</w:t>
      </w:r>
    </w:p>
    <w:p w14:paraId="036A84BE" w14:textId="68C374A8" w:rsidR="00D968C7" w:rsidRPr="003113FF" w:rsidRDefault="00D968C7" w:rsidP="00D968C7">
      <w:pPr>
        <w:numPr>
          <w:ilvl w:val="0"/>
          <w:numId w:val="14"/>
        </w:numPr>
        <w:spacing w:before="60" w:after="120"/>
        <w:contextualSpacing/>
        <w:rPr>
          <w:b/>
        </w:rPr>
      </w:pPr>
      <w:r w:rsidRPr="00260FAC">
        <w:t xml:space="preserve">Nobody directly or indirectly employed by or volunteering for </w:t>
      </w:r>
      <w:r w:rsidR="00DA0F45">
        <w:rPr>
          <w:color w:val="808080"/>
        </w:rPr>
        <w:t>NENA</w:t>
      </w:r>
      <w:r>
        <w:t xml:space="preserve"> </w:t>
      </w:r>
      <w:r w:rsidRPr="00260FAC">
        <w:t>shall accept commissions, bonuses or payments for fundraising activities on behalf of the organisation.</w:t>
      </w:r>
    </w:p>
    <w:p w14:paraId="287318C9" w14:textId="77777777" w:rsidR="00D968C7" w:rsidRPr="003113FF" w:rsidRDefault="00D968C7" w:rsidP="00D968C7">
      <w:pPr>
        <w:numPr>
          <w:ilvl w:val="0"/>
          <w:numId w:val="14"/>
        </w:numPr>
        <w:spacing w:before="60" w:after="120"/>
        <w:contextualSpacing/>
      </w:pPr>
      <w:r w:rsidRPr="003113FF">
        <w:t>No general solicitations shall be undertaken by telephone or door-to-door.</w:t>
      </w:r>
    </w:p>
    <w:p w14:paraId="628A8D7E" w14:textId="3AAE4B24" w:rsidR="00D968C7" w:rsidRDefault="00D968C7" w:rsidP="00D968C7">
      <w:pPr>
        <w:numPr>
          <w:ilvl w:val="0"/>
          <w:numId w:val="14"/>
        </w:numPr>
        <w:spacing w:before="60" w:after="120"/>
        <w:contextualSpacing/>
      </w:pPr>
      <w:r w:rsidRPr="003113FF">
        <w:t xml:space="preserve">Fundraising activities should not be undertaken if they may be detrimental to the good name or community standing of </w:t>
      </w:r>
      <w:r w:rsidR="00DA0F45">
        <w:rPr>
          <w:color w:val="808080"/>
        </w:rPr>
        <w:t>NENA</w:t>
      </w:r>
      <w:r w:rsidRPr="003113FF">
        <w:t xml:space="preserve"> </w:t>
      </w:r>
    </w:p>
    <w:p w14:paraId="7862F6A2" w14:textId="4D338034" w:rsidR="00D968C7" w:rsidRPr="003113FF" w:rsidRDefault="00D968C7" w:rsidP="00D968C7">
      <w:pPr>
        <w:numPr>
          <w:ilvl w:val="0"/>
          <w:numId w:val="14"/>
        </w:numPr>
        <w:spacing w:before="60" w:after="120"/>
        <w:contextualSpacing/>
      </w:pPr>
      <w:r w:rsidRPr="003113FF">
        <w:t xml:space="preserve">Financial contributions will only be accepted from companies, organisations and individuals the Board considers ethical. </w:t>
      </w:r>
      <w:r w:rsidR="00DA0F45">
        <w:t xml:space="preserve">The Board may from time to time identify industries, companies and organisations </w:t>
      </w:r>
      <w:r w:rsidRPr="003113FF">
        <w:t>specifically excluded from making financial contributions to</w:t>
      </w:r>
      <w:r w:rsidR="00DA0F45">
        <w:t xml:space="preserve"> NENA </w:t>
      </w:r>
      <w:r w:rsidRPr="003113FF">
        <w:t xml:space="preserve"> </w:t>
      </w:r>
    </w:p>
    <w:p w14:paraId="6CEB4F80" w14:textId="77777777" w:rsidR="00F50E40" w:rsidRDefault="00F50E40" w:rsidP="00D968C7"/>
    <w:p w14:paraId="4425F2A8" w14:textId="77777777" w:rsidR="00D968C7" w:rsidRPr="00D968C7" w:rsidRDefault="00D968C7" w:rsidP="00D968C7"/>
    <w:sectPr w:rsidR="00D968C7" w:rsidRPr="00D968C7" w:rsidSect="00223DFD">
      <w:pgSz w:w="11900" w:h="16840"/>
      <w:pgMar w:top="1440" w:right="1440" w:bottom="1440" w:left="1440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0CC8" w14:textId="77777777" w:rsidR="00961DA0" w:rsidRDefault="00961DA0" w:rsidP="00555286">
      <w:r>
        <w:separator/>
      </w:r>
    </w:p>
  </w:endnote>
  <w:endnote w:type="continuationSeparator" w:id="0">
    <w:p w14:paraId="74CAD654" w14:textId="77777777" w:rsidR="00961DA0" w:rsidRDefault="00961DA0" w:rsidP="005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F89B" w14:textId="77777777" w:rsidR="009A25BD" w:rsidRDefault="009A25BD" w:rsidP="008F3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1A9C0" w14:textId="77777777" w:rsidR="009A25BD" w:rsidRDefault="009A25BD" w:rsidP="007D05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2FB38" w14:textId="77777777" w:rsidR="009A25BD" w:rsidRDefault="009A25BD" w:rsidP="008F3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074">
      <w:rPr>
        <w:rStyle w:val="PageNumber"/>
        <w:noProof/>
      </w:rPr>
      <w:t>8</w:t>
    </w:r>
    <w:r>
      <w:rPr>
        <w:rStyle w:val="PageNumber"/>
      </w:rPr>
      <w:fldChar w:fldCharType="end"/>
    </w:r>
  </w:p>
  <w:p w14:paraId="30B9478A" w14:textId="2DADCAF2" w:rsidR="009A25BD" w:rsidRDefault="009A25BD" w:rsidP="007D057A">
    <w:pPr>
      <w:pStyle w:val="Footer"/>
      <w:ind w:right="360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3"/>
      <w:gridCol w:w="3003"/>
      <w:gridCol w:w="3004"/>
    </w:tblGrid>
    <w:tr w:rsidR="009A25BD" w14:paraId="6D0021C9" w14:textId="77777777" w:rsidTr="00223DFD">
      <w:tc>
        <w:tcPr>
          <w:tcW w:w="3003" w:type="dxa"/>
        </w:tcPr>
        <w:p w14:paraId="3F535726" w14:textId="43F1B84A" w:rsidR="009A25BD" w:rsidRDefault="009A25BD">
          <w:pPr>
            <w:pStyle w:val="Footer"/>
          </w:pPr>
          <w:r>
            <w:t xml:space="preserve">Date approved: </w:t>
          </w:r>
        </w:p>
      </w:tc>
      <w:tc>
        <w:tcPr>
          <w:tcW w:w="3003" w:type="dxa"/>
        </w:tcPr>
        <w:p w14:paraId="7B4311E3" w14:textId="4FC9D68E" w:rsidR="009A25BD" w:rsidRDefault="009A25BD" w:rsidP="00223DFD">
          <w:pPr>
            <w:pStyle w:val="Footer"/>
          </w:pPr>
          <w:r>
            <w:t>Status and version: XX</w:t>
          </w:r>
        </w:p>
      </w:tc>
      <w:tc>
        <w:tcPr>
          <w:tcW w:w="3004" w:type="dxa"/>
        </w:tcPr>
        <w:p w14:paraId="57121D6F" w14:textId="0D38D816" w:rsidR="009A25BD" w:rsidRDefault="009A25BD">
          <w:pPr>
            <w:pStyle w:val="Footer"/>
          </w:pPr>
          <w:r>
            <w:t>Date of next review: XX</w:t>
          </w:r>
        </w:p>
      </w:tc>
    </w:tr>
    <w:tr w:rsidR="009A25BD" w14:paraId="2CFEBEFD" w14:textId="77777777" w:rsidTr="00223DFD">
      <w:tc>
        <w:tcPr>
          <w:tcW w:w="3003" w:type="dxa"/>
        </w:tcPr>
        <w:p w14:paraId="3BA53A7B" w14:textId="2B37DA8E" w:rsidR="009A25BD" w:rsidRDefault="009A25BD">
          <w:pPr>
            <w:pStyle w:val="Footer"/>
          </w:pPr>
          <w:r>
            <w:t>Content Owner: PBG</w:t>
          </w:r>
        </w:p>
      </w:tc>
      <w:tc>
        <w:tcPr>
          <w:tcW w:w="3003" w:type="dxa"/>
        </w:tcPr>
        <w:p w14:paraId="4CC151AE" w14:textId="18C8541A" w:rsidR="009A25BD" w:rsidRDefault="009A25BD">
          <w:pPr>
            <w:pStyle w:val="Footer"/>
          </w:pPr>
          <w:r>
            <w:t xml:space="preserve">Quality Assured by: </w:t>
          </w:r>
        </w:p>
      </w:tc>
      <w:tc>
        <w:tcPr>
          <w:tcW w:w="3004" w:type="dxa"/>
        </w:tcPr>
        <w:p w14:paraId="2F67679D" w14:textId="7DBC9997" w:rsidR="009A25BD" w:rsidRDefault="009A25BD">
          <w:pPr>
            <w:pStyle w:val="Footer"/>
          </w:pPr>
          <w:r>
            <w:t>Page</w:t>
          </w:r>
        </w:p>
      </w:tc>
    </w:tr>
  </w:tbl>
  <w:p w14:paraId="28E96D83" w14:textId="20B3D2E1" w:rsidR="009A25BD" w:rsidRDefault="009A25BD">
    <w:pPr>
      <w:pStyle w:val="Footer"/>
    </w:pPr>
  </w:p>
  <w:p w14:paraId="64FF35D7" w14:textId="77777777" w:rsidR="009A25BD" w:rsidRDefault="009A25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2D5" w14:textId="77777777" w:rsidR="00961DA0" w:rsidRDefault="00961DA0" w:rsidP="00555286">
      <w:r>
        <w:separator/>
      </w:r>
    </w:p>
  </w:footnote>
  <w:footnote w:type="continuationSeparator" w:id="0">
    <w:p w14:paraId="01314B92" w14:textId="77777777" w:rsidR="00961DA0" w:rsidRDefault="00961DA0" w:rsidP="005552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5E37" w14:textId="1D79B9B8" w:rsidR="009A25BD" w:rsidRDefault="009A25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C339A" wp14:editId="4F841BB3">
          <wp:simplePos x="0" y="0"/>
          <wp:positionH relativeFrom="column">
            <wp:posOffset>4051935</wp:posOffset>
          </wp:positionH>
          <wp:positionV relativeFrom="paragraph">
            <wp:posOffset>-203835</wp:posOffset>
          </wp:positionV>
          <wp:extent cx="2121535" cy="554990"/>
          <wp:effectExtent l="0" t="0" r="1206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6 at 7.41.4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PG-GL-01 Participatory Budget Guideline</w:t>
    </w:r>
  </w:p>
  <w:p w14:paraId="43F823B2" w14:textId="03278082" w:rsidR="009A25BD" w:rsidRDefault="009A25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A45"/>
    <w:multiLevelType w:val="hybridMultilevel"/>
    <w:tmpl w:val="64A2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6C5A"/>
    <w:multiLevelType w:val="hybridMultilevel"/>
    <w:tmpl w:val="2EE67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5A77"/>
    <w:multiLevelType w:val="hybridMultilevel"/>
    <w:tmpl w:val="997CB02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AE535A"/>
    <w:multiLevelType w:val="hybridMultilevel"/>
    <w:tmpl w:val="B16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710D"/>
    <w:multiLevelType w:val="multilevel"/>
    <w:tmpl w:val="69704B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1A4F05"/>
    <w:multiLevelType w:val="multilevel"/>
    <w:tmpl w:val="5210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6418E"/>
    <w:multiLevelType w:val="hybridMultilevel"/>
    <w:tmpl w:val="6DEA3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64B4B"/>
    <w:multiLevelType w:val="hybridMultilevel"/>
    <w:tmpl w:val="6BA4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9182E"/>
    <w:multiLevelType w:val="hybridMultilevel"/>
    <w:tmpl w:val="A63CC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F16"/>
    <w:multiLevelType w:val="hybridMultilevel"/>
    <w:tmpl w:val="F578B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D416E"/>
    <w:multiLevelType w:val="multilevel"/>
    <w:tmpl w:val="A570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B39CA"/>
    <w:multiLevelType w:val="hybridMultilevel"/>
    <w:tmpl w:val="5A18A346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53C59FA"/>
    <w:multiLevelType w:val="hybridMultilevel"/>
    <w:tmpl w:val="A4B2C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3927"/>
    <w:multiLevelType w:val="hybridMultilevel"/>
    <w:tmpl w:val="9AE61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A9"/>
    <w:rsid w:val="00032CC9"/>
    <w:rsid w:val="00043EA4"/>
    <w:rsid w:val="000A3449"/>
    <w:rsid w:val="000E02E3"/>
    <w:rsid w:val="00111074"/>
    <w:rsid w:val="001153A2"/>
    <w:rsid w:val="00147430"/>
    <w:rsid w:val="001A2043"/>
    <w:rsid w:val="00204332"/>
    <w:rsid w:val="00223DFD"/>
    <w:rsid w:val="002446F0"/>
    <w:rsid w:val="00294C47"/>
    <w:rsid w:val="002E4F32"/>
    <w:rsid w:val="002F4FF8"/>
    <w:rsid w:val="00304A10"/>
    <w:rsid w:val="00382B27"/>
    <w:rsid w:val="003A45E6"/>
    <w:rsid w:val="004323CA"/>
    <w:rsid w:val="00470EF4"/>
    <w:rsid w:val="004C0C35"/>
    <w:rsid w:val="004C3FF3"/>
    <w:rsid w:val="004F47EB"/>
    <w:rsid w:val="005064CA"/>
    <w:rsid w:val="00533769"/>
    <w:rsid w:val="00552FD1"/>
    <w:rsid w:val="00554668"/>
    <w:rsid w:val="00555286"/>
    <w:rsid w:val="00585C5D"/>
    <w:rsid w:val="005E5826"/>
    <w:rsid w:val="006573A7"/>
    <w:rsid w:val="006641B9"/>
    <w:rsid w:val="00691783"/>
    <w:rsid w:val="006B4054"/>
    <w:rsid w:val="006F6D47"/>
    <w:rsid w:val="007072D0"/>
    <w:rsid w:val="00725791"/>
    <w:rsid w:val="00773E38"/>
    <w:rsid w:val="007D057A"/>
    <w:rsid w:val="008279E8"/>
    <w:rsid w:val="008378FF"/>
    <w:rsid w:val="00867055"/>
    <w:rsid w:val="008B119C"/>
    <w:rsid w:val="008E16C7"/>
    <w:rsid w:val="008E41AD"/>
    <w:rsid w:val="008F310E"/>
    <w:rsid w:val="008F3E08"/>
    <w:rsid w:val="00902837"/>
    <w:rsid w:val="00910396"/>
    <w:rsid w:val="0092406B"/>
    <w:rsid w:val="00961DA0"/>
    <w:rsid w:val="00980F3F"/>
    <w:rsid w:val="00982394"/>
    <w:rsid w:val="00993DE5"/>
    <w:rsid w:val="009A25BD"/>
    <w:rsid w:val="009B5C5E"/>
    <w:rsid w:val="009D27E5"/>
    <w:rsid w:val="009E59A2"/>
    <w:rsid w:val="00A079A3"/>
    <w:rsid w:val="00A575A5"/>
    <w:rsid w:val="00A7046D"/>
    <w:rsid w:val="00A74332"/>
    <w:rsid w:val="00A828B8"/>
    <w:rsid w:val="00B16EA9"/>
    <w:rsid w:val="00B94EDE"/>
    <w:rsid w:val="00BB3B4D"/>
    <w:rsid w:val="00BE48C4"/>
    <w:rsid w:val="00BF3ABF"/>
    <w:rsid w:val="00C60EDA"/>
    <w:rsid w:val="00C9518B"/>
    <w:rsid w:val="00CA78C2"/>
    <w:rsid w:val="00CC3D70"/>
    <w:rsid w:val="00CC40BC"/>
    <w:rsid w:val="00CF204E"/>
    <w:rsid w:val="00D20E48"/>
    <w:rsid w:val="00D310FD"/>
    <w:rsid w:val="00D968C7"/>
    <w:rsid w:val="00DA0F45"/>
    <w:rsid w:val="00DA5A78"/>
    <w:rsid w:val="00DD5FEF"/>
    <w:rsid w:val="00DF1C09"/>
    <w:rsid w:val="00EB1165"/>
    <w:rsid w:val="00EF1846"/>
    <w:rsid w:val="00F33BA9"/>
    <w:rsid w:val="00F470A8"/>
    <w:rsid w:val="00F50E40"/>
    <w:rsid w:val="00F61584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6B7E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EF"/>
  </w:style>
  <w:style w:type="paragraph" w:styleId="Heading1">
    <w:name w:val="heading 1"/>
    <w:basedOn w:val="Normal"/>
    <w:next w:val="Normal"/>
    <w:link w:val="Heading1Char"/>
    <w:uiPriority w:val="9"/>
    <w:qFormat/>
    <w:rsid w:val="00D968C7"/>
    <w:pPr>
      <w:keepNext/>
      <w:keepLines/>
      <w:numPr>
        <w:numId w:val="1"/>
      </w:numPr>
      <w:pBdr>
        <w:top w:val="single" w:sz="18" w:space="1" w:color="808080" w:themeColor="background1" w:themeShade="80"/>
      </w:pBdr>
      <w:shd w:val="clear" w:color="auto" w:fill="D9D9D9" w:themeFill="background1" w:themeFillShade="D9"/>
      <w:spacing w:before="240"/>
      <w:outlineLvl w:val="0"/>
    </w:pPr>
    <w:rPr>
      <w:rFonts w:asciiTheme="majorHAnsi" w:eastAsiaTheme="majorEastAsia" w:hAnsiTheme="majorHAnsi" w:cstheme="majorBidi"/>
      <w:b/>
      <w:color w:val="1B1D3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C7"/>
    <w:rPr>
      <w:rFonts w:asciiTheme="majorHAnsi" w:eastAsiaTheme="majorEastAsia" w:hAnsiTheme="majorHAnsi" w:cstheme="majorBidi"/>
      <w:b/>
      <w:color w:val="1B1D3D" w:themeColor="text2" w:themeShade="BF"/>
      <w:sz w:val="28"/>
      <w:szCs w:val="28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39"/>
    <w:rsid w:val="00555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286"/>
  </w:style>
  <w:style w:type="paragraph" w:styleId="Footer">
    <w:name w:val="footer"/>
    <w:basedOn w:val="Normal"/>
    <w:link w:val="FooterChar"/>
    <w:uiPriority w:val="99"/>
    <w:unhideWhenUsed/>
    <w:rsid w:val="00555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286"/>
  </w:style>
  <w:style w:type="character" w:styleId="PageNumber">
    <w:name w:val="page number"/>
    <w:basedOn w:val="DefaultParagraphFont"/>
    <w:uiPriority w:val="99"/>
    <w:semiHidden/>
    <w:unhideWhenUsed/>
    <w:rsid w:val="00223DFD"/>
  </w:style>
  <w:style w:type="paragraph" w:styleId="TOCHeading">
    <w:name w:val="TOC Heading"/>
    <w:basedOn w:val="Heading1"/>
    <w:next w:val="Normal"/>
    <w:uiPriority w:val="39"/>
    <w:unhideWhenUsed/>
    <w:qFormat/>
    <w:rsid w:val="00223DFD"/>
    <w:pPr>
      <w:spacing w:before="480" w:line="276" w:lineRule="auto"/>
      <w:outlineLvl w:val="9"/>
    </w:pPr>
    <w:rPr>
      <w:b w:val="0"/>
      <w:bCs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D057A"/>
    <w:pPr>
      <w:tabs>
        <w:tab w:val="left" w:pos="480"/>
        <w:tab w:val="right" w:leader="dot" w:pos="9010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223DFD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23DF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3DF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23DF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23DF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23DF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23DF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23DFD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4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8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F310E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8C7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rsid w:val="00D968C7"/>
    <w:pPr>
      <w:spacing w:before="40" w:after="40"/>
      <w:contextualSpacing/>
    </w:pPr>
    <w:rPr>
      <w:rFonts w:ascii="Book Antiqua" w:eastAsia="Times New Roman" w:hAnsi="Book Antiqua" w:cs="Times New Roman"/>
      <w:sz w:val="22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D968C7"/>
    <w:rPr>
      <w:rFonts w:ascii="Book Antiqua" w:eastAsia="Times New Roman" w:hAnsi="Book Antiqua" w:cs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B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575A5"/>
  </w:style>
  <w:style w:type="character" w:customStyle="1" w:styleId="apple-converted-space">
    <w:name w:val="apple-converted-space"/>
    <w:basedOn w:val="DefaultParagraphFont"/>
    <w:rsid w:val="00CC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www.neweconomy.org.au/about/governance/code-of-conduct/" TargetMode="External"/><Relationship Id="rId14" Type="http://schemas.openxmlformats.org/officeDocument/2006/relationships/hyperlink" Target="https://www.neweconomy.org.au/wp-content/uploads/2018/12/NENA-Constitution_2018_Final-Version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file://localhost/Users/gmwood/Documents/Meags'%20Stuff/NENA/PBG%20Guideline%20-%20Draft%20020620.doc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964A90-4042-EB42-8914-781E458D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1776</Words>
  <Characters>10127</Characters>
  <Application>Microsoft Macintosh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Purpose</vt:lpstr>
      <vt:lpstr>Role of this and related documents</vt:lpstr>
      <vt:lpstr>Roles and Responsibilities</vt:lpstr>
      <vt:lpstr>Raising Funds &amp; Revenue </vt:lpstr>
      <vt:lpstr>Distributing funds raised by the Co-operative</vt:lpstr>
      <vt:lpstr>Financial Risk and Quality Assurance</vt:lpstr>
      <vt:lpstr>Preparing NENA’s Annual Budget </vt:lpstr>
      <vt:lpstr>Holding and distributing monies </vt:lpstr>
      <vt:lpstr>Disputes relating to PB matters</vt:lpstr>
      <vt:lpstr>APPENDIX A</vt:lpstr>
      <vt:lpstr>    Introduction</vt:lpstr>
      <vt:lpstr>    Purpose</vt:lpstr>
      <vt:lpstr>    Standards</vt:lpstr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2020-05-31T01:00:00Z</cp:lastPrinted>
  <dcterms:created xsi:type="dcterms:W3CDTF">2020-06-02T07:47:00Z</dcterms:created>
  <dcterms:modified xsi:type="dcterms:W3CDTF">2020-06-02T07:52:00Z</dcterms:modified>
</cp:coreProperties>
</file>